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E8" w:rsidRDefault="00784DD6" w:rsidP="00784DD6">
      <w:pPr>
        <w:pStyle w:val="Default"/>
        <w:contextualSpacing/>
        <w:jc w:val="center"/>
        <w:rPr>
          <w:rFonts w:ascii="Times New Roman" w:hAnsi="Times New Roman" w:cs="Times New Roman"/>
          <w:color w:val="auto"/>
        </w:rPr>
      </w:pPr>
      <w:r>
        <w:rPr>
          <w:rFonts w:ascii="Times New Roman" w:hAnsi="Times New Roman" w:cs="Times New Roman"/>
          <w:color w:val="auto"/>
        </w:rPr>
        <w:t xml:space="preserve">Memorandum: </w:t>
      </w:r>
      <w:proofErr w:type="spellStart"/>
      <w:r w:rsidRPr="00784DD6">
        <w:rPr>
          <w:rFonts w:ascii="Times New Roman" w:hAnsi="Times New Roman" w:cs="Times New Roman"/>
          <w:color w:val="auto"/>
        </w:rPr>
        <w:t>Jaworski</w:t>
      </w:r>
      <w:proofErr w:type="spellEnd"/>
      <w:r>
        <w:rPr>
          <w:rFonts w:ascii="Times New Roman" w:hAnsi="Times New Roman" w:cs="Times New Roman"/>
          <w:color w:val="auto"/>
        </w:rPr>
        <w:t xml:space="preserve"> letter dated October 4, 2019</w:t>
      </w:r>
    </w:p>
    <w:p w:rsidR="00784DD6" w:rsidRPr="00784DD6" w:rsidRDefault="00784DD6" w:rsidP="007B69A2">
      <w:pPr>
        <w:pStyle w:val="Default"/>
        <w:contextualSpacing/>
        <w:rPr>
          <w:rFonts w:ascii="Times New Roman" w:hAnsi="Times New Roman" w:cs="Times New Roman"/>
          <w:color w:val="auto"/>
        </w:rPr>
      </w:pPr>
    </w:p>
    <w:p w:rsidR="00D7357B" w:rsidRDefault="00784DD6" w:rsidP="007B69A2">
      <w:pPr>
        <w:pStyle w:val="Default"/>
        <w:contextualSpacing/>
        <w:rPr>
          <w:rFonts w:ascii="Times New Roman" w:hAnsi="Times New Roman" w:cs="Times New Roman"/>
          <w:color w:val="auto"/>
        </w:rPr>
      </w:pPr>
      <w:r>
        <w:rPr>
          <w:rFonts w:ascii="Times New Roman" w:hAnsi="Times New Roman" w:cs="Times New Roman"/>
          <w:color w:val="auto"/>
        </w:rPr>
        <w:t xml:space="preserve">We do not have to respond to everything that </w:t>
      </w:r>
      <w:proofErr w:type="spellStart"/>
      <w:r w:rsidRPr="00784DD6">
        <w:rPr>
          <w:rFonts w:ascii="Times New Roman" w:hAnsi="Times New Roman" w:cs="Times New Roman"/>
          <w:color w:val="auto"/>
        </w:rPr>
        <w:t>Jaworski</w:t>
      </w:r>
      <w:proofErr w:type="spellEnd"/>
      <w:r>
        <w:rPr>
          <w:rFonts w:ascii="Times New Roman" w:hAnsi="Times New Roman" w:cs="Times New Roman"/>
          <w:color w:val="auto"/>
        </w:rPr>
        <w:t xml:space="preserve"> demands.   However, I have been working on an outline of issues and potential options for response.  </w:t>
      </w:r>
    </w:p>
    <w:p w:rsidR="00784DD6" w:rsidRPr="00784DD6" w:rsidRDefault="00784DD6" w:rsidP="007B69A2">
      <w:pPr>
        <w:pStyle w:val="Default"/>
        <w:contextualSpacing/>
        <w:rPr>
          <w:rFonts w:ascii="Times New Roman" w:hAnsi="Times New Roman" w:cs="Times New Roman"/>
          <w:color w:val="auto"/>
        </w:rPr>
      </w:pPr>
    </w:p>
    <w:p w:rsidR="008D6DE8" w:rsidRPr="00784DD6" w:rsidRDefault="008D6DE8" w:rsidP="007B69A2">
      <w:pPr>
        <w:pStyle w:val="ListParagraph"/>
        <w:numPr>
          <w:ilvl w:val="0"/>
          <w:numId w:val="1"/>
        </w:numPr>
        <w:spacing w:line="240" w:lineRule="auto"/>
        <w:rPr>
          <w:rFonts w:ascii="Times New Roman" w:hAnsi="Times New Roman" w:cs="Times New Roman"/>
          <w:sz w:val="24"/>
          <w:szCs w:val="24"/>
        </w:rPr>
      </w:pPr>
      <w:r w:rsidRPr="00784DD6">
        <w:rPr>
          <w:rFonts w:ascii="Times New Roman" w:hAnsi="Times New Roman" w:cs="Times New Roman"/>
          <w:sz w:val="24"/>
          <w:szCs w:val="24"/>
        </w:rPr>
        <w:t xml:space="preserve">The Board is allowed to communicate directly to </w:t>
      </w:r>
      <w:proofErr w:type="spellStart"/>
      <w:r w:rsidRPr="00784DD6">
        <w:rPr>
          <w:rFonts w:ascii="Times New Roman" w:hAnsi="Times New Roman" w:cs="Times New Roman"/>
          <w:sz w:val="24"/>
          <w:szCs w:val="24"/>
        </w:rPr>
        <w:t>Jaworski</w:t>
      </w:r>
      <w:proofErr w:type="spellEnd"/>
      <w:r w:rsidRPr="00784DD6">
        <w:rPr>
          <w:rFonts w:ascii="Times New Roman" w:hAnsi="Times New Roman" w:cs="Times New Roman"/>
          <w:sz w:val="24"/>
          <w:szCs w:val="24"/>
        </w:rPr>
        <w:t>.  There is not a requirement that you use counsel to communicate</w:t>
      </w:r>
      <w:r w:rsidR="00D7357B" w:rsidRPr="00784DD6">
        <w:rPr>
          <w:rFonts w:ascii="Times New Roman" w:hAnsi="Times New Roman" w:cs="Times New Roman"/>
          <w:sz w:val="24"/>
          <w:szCs w:val="24"/>
        </w:rPr>
        <w:t xml:space="preserve"> with him</w:t>
      </w:r>
      <w:r w:rsidRPr="00784DD6">
        <w:rPr>
          <w:rFonts w:ascii="Times New Roman" w:hAnsi="Times New Roman" w:cs="Times New Roman"/>
          <w:sz w:val="24"/>
          <w:szCs w:val="24"/>
        </w:rPr>
        <w:t xml:space="preserve">.  </w:t>
      </w:r>
    </w:p>
    <w:p w:rsidR="008D6DE8" w:rsidRPr="00784DD6" w:rsidRDefault="008D6DE8" w:rsidP="007B69A2">
      <w:pPr>
        <w:spacing w:line="240" w:lineRule="auto"/>
        <w:ind w:left="360"/>
        <w:contextualSpacing/>
        <w:rPr>
          <w:rFonts w:ascii="Times New Roman" w:hAnsi="Times New Roman" w:cs="Times New Roman"/>
          <w:b/>
          <w:sz w:val="24"/>
          <w:szCs w:val="24"/>
        </w:rPr>
      </w:pPr>
      <w:r w:rsidRPr="00784DD6">
        <w:rPr>
          <w:rFonts w:ascii="Times New Roman" w:hAnsi="Times New Roman" w:cs="Times New Roman"/>
          <w:b/>
          <w:sz w:val="24"/>
          <w:szCs w:val="24"/>
        </w:rPr>
        <w:t xml:space="preserve">Date </w:t>
      </w:r>
      <w:proofErr w:type="spellStart"/>
      <w:r w:rsidRPr="00784DD6">
        <w:rPr>
          <w:rFonts w:ascii="Times New Roman" w:hAnsi="Times New Roman" w:cs="Times New Roman"/>
          <w:b/>
          <w:sz w:val="24"/>
          <w:szCs w:val="24"/>
        </w:rPr>
        <w:t>Declarant</w:t>
      </w:r>
      <w:proofErr w:type="spellEnd"/>
      <w:r w:rsidRPr="00784DD6">
        <w:rPr>
          <w:rFonts w:ascii="Times New Roman" w:hAnsi="Times New Roman" w:cs="Times New Roman"/>
          <w:b/>
          <w:sz w:val="24"/>
          <w:szCs w:val="24"/>
        </w:rPr>
        <w:t xml:space="preserve"> Control Ended</w:t>
      </w:r>
    </w:p>
    <w:p w:rsidR="001E000B" w:rsidRPr="00784DD6" w:rsidRDefault="008D6DE8" w:rsidP="007B69A2">
      <w:pPr>
        <w:pStyle w:val="ListParagraph"/>
        <w:numPr>
          <w:ilvl w:val="0"/>
          <w:numId w:val="1"/>
        </w:numPr>
        <w:spacing w:line="240" w:lineRule="auto"/>
        <w:rPr>
          <w:rFonts w:ascii="Times New Roman" w:hAnsi="Times New Roman" w:cs="Times New Roman"/>
          <w:sz w:val="24"/>
          <w:szCs w:val="24"/>
        </w:rPr>
      </w:pPr>
      <w:r w:rsidRPr="00784DD6">
        <w:rPr>
          <w:rFonts w:ascii="Times New Roman" w:hAnsi="Times New Roman" w:cs="Times New Roman"/>
          <w:sz w:val="24"/>
          <w:szCs w:val="24"/>
        </w:rPr>
        <w:t xml:space="preserve">The </w:t>
      </w:r>
      <w:proofErr w:type="spellStart"/>
      <w:r w:rsidRPr="00784DD6">
        <w:rPr>
          <w:rFonts w:ascii="Times New Roman" w:hAnsi="Times New Roman" w:cs="Times New Roman"/>
          <w:sz w:val="24"/>
          <w:szCs w:val="24"/>
        </w:rPr>
        <w:t>Declarant</w:t>
      </w:r>
      <w:proofErr w:type="spellEnd"/>
      <w:r w:rsidRPr="00784DD6">
        <w:rPr>
          <w:rFonts w:ascii="Times New Roman" w:hAnsi="Times New Roman" w:cs="Times New Roman"/>
          <w:sz w:val="24"/>
          <w:szCs w:val="24"/>
        </w:rPr>
        <w:t xml:space="preserve"> kept records during the period of </w:t>
      </w:r>
      <w:proofErr w:type="spellStart"/>
      <w:r w:rsidRPr="00784DD6">
        <w:rPr>
          <w:rFonts w:ascii="Times New Roman" w:hAnsi="Times New Roman" w:cs="Times New Roman"/>
          <w:sz w:val="24"/>
          <w:szCs w:val="24"/>
        </w:rPr>
        <w:t>Declara</w:t>
      </w:r>
      <w:r w:rsidR="001E000B" w:rsidRPr="00784DD6">
        <w:rPr>
          <w:rFonts w:ascii="Times New Roman" w:hAnsi="Times New Roman" w:cs="Times New Roman"/>
          <w:sz w:val="24"/>
          <w:szCs w:val="24"/>
        </w:rPr>
        <w:t>nt</w:t>
      </w:r>
      <w:proofErr w:type="spellEnd"/>
      <w:r w:rsidR="001E000B" w:rsidRPr="00784DD6">
        <w:rPr>
          <w:rFonts w:ascii="Times New Roman" w:hAnsi="Times New Roman" w:cs="Times New Roman"/>
          <w:sz w:val="24"/>
          <w:szCs w:val="24"/>
        </w:rPr>
        <w:t xml:space="preserve"> control.  </w:t>
      </w:r>
      <w:r w:rsidRPr="00784DD6">
        <w:rPr>
          <w:rFonts w:ascii="Times New Roman" w:hAnsi="Times New Roman" w:cs="Times New Roman"/>
          <w:sz w:val="24"/>
          <w:szCs w:val="24"/>
        </w:rPr>
        <w:t xml:space="preserve">The Board is in possession of the records provided by the </w:t>
      </w:r>
      <w:proofErr w:type="spellStart"/>
      <w:r w:rsidRPr="00784DD6">
        <w:rPr>
          <w:rFonts w:ascii="Times New Roman" w:hAnsi="Times New Roman" w:cs="Times New Roman"/>
          <w:sz w:val="24"/>
          <w:szCs w:val="24"/>
        </w:rPr>
        <w:t>Declarant</w:t>
      </w:r>
      <w:proofErr w:type="spellEnd"/>
      <w:r w:rsidR="001E000B" w:rsidRPr="00784DD6">
        <w:rPr>
          <w:rFonts w:ascii="Times New Roman" w:hAnsi="Times New Roman" w:cs="Times New Roman"/>
          <w:sz w:val="24"/>
          <w:szCs w:val="24"/>
        </w:rPr>
        <w:t xml:space="preserve"> when the </w:t>
      </w:r>
      <w:proofErr w:type="spellStart"/>
      <w:r w:rsidR="001E000B" w:rsidRPr="00784DD6">
        <w:rPr>
          <w:rFonts w:ascii="Times New Roman" w:hAnsi="Times New Roman" w:cs="Times New Roman"/>
          <w:sz w:val="24"/>
          <w:szCs w:val="24"/>
        </w:rPr>
        <w:t>Declarant</w:t>
      </w:r>
      <w:proofErr w:type="spellEnd"/>
      <w:r w:rsidR="001E000B" w:rsidRPr="00784DD6">
        <w:rPr>
          <w:rFonts w:ascii="Times New Roman" w:hAnsi="Times New Roman" w:cs="Times New Roman"/>
          <w:sz w:val="24"/>
          <w:szCs w:val="24"/>
        </w:rPr>
        <w:t xml:space="preserve"> turned over </w:t>
      </w:r>
      <w:proofErr w:type="spellStart"/>
      <w:r w:rsidR="001E000B" w:rsidRPr="00784DD6">
        <w:rPr>
          <w:rFonts w:ascii="Times New Roman" w:hAnsi="Times New Roman" w:cs="Times New Roman"/>
          <w:sz w:val="24"/>
          <w:szCs w:val="24"/>
        </w:rPr>
        <w:t>Declarant</w:t>
      </w:r>
      <w:proofErr w:type="spellEnd"/>
      <w:r w:rsidR="001E000B" w:rsidRPr="00784DD6">
        <w:rPr>
          <w:rFonts w:ascii="Times New Roman" w:hAnsi="Times New Roman" w:cs="Times New Roman"/>
          <w:sz w:val="24"/>
          <w:szCs w:val="24"/>
        </w:rPr>
        <w:t xml:space="preserve"> control to the members.  </w:t>
      </w:r>
      <w:r w:rsidR="007B69A2" w:rsidRPr="00784DD6">
        <w:rPr>
          <w:rFonts w:ascii="Times New Roman" w:hAnsi="Times New Roman" w:cs="Times New Roman"/>
          <w:sz w:val="24"/>
          <w:szCs w:val="24"/>
        </w:rPr>
        <w:t xml:space="preserve">A Member </w:t>
      </w:r>
      <w:r w:rsidR="001E000B" w:rsidRPr="00784DD6">
        <w:rPr>
          <w:rFonts w:ascii="Times New Roman" w:hAnsi="Times New Roman" w:cs="Times New Roman"/>
          <w:sz w:val="24"/>
          <w:szCs w:val="24"/>
        </w:rPr>
        <w:t xml:space="preserve">controlled Board did not keep records during the period of </w:t>
      </w:r>
      <w:proofErr w:type="spellStart"/>
      <w:r w:rsidR="001E000B" w:rsidRPr="00784DD6">
        <w:rPr>
          <w:rFonts w:ascii="Times New Roman" w:hAnsi="Times New Roman" w:cs="Times New Roman"/>
          <w:sz w:val="24"/>
          <w:szCs w:val="24"/>
        </w:rPr>
        <w:t>Declarant</w:t>
      </w:r>
      <w:proofErr w:type="spellEnd"/>
      <w:r w:rsidR="001E000B" w:rsidRPr="00784DD6">
        <w:rPr>
          <w:rFonts w:ascii="Times New Roman" w:hAnsi="Times New Roman" w:cs="Times New Roman"/>
          <w:sz w:val="24"/>
          <w:szCs w:val="24"/>
        </w:rPr>
        <w:t xml:space="preserve"> cont</w:t>
      </w:r>
      <w:r w:rsidR="007B69A2" w:rsidRPr="00784DD6">
        <w:rPr>
          <w:rFonts w:ascii="Times New Roman" w:hAnsi="Times New Roman" w:cs="Times New Roman"/>
          <w:sz w:val="24"/>
          <w:szCs w:val="24"/>
        </w:rPr>
        <w:t xml:space="preserve">rol because a Member </w:t>
      </w:r>
      <w:r w:rsidR="001E000B" w:rsidRPr="00784DD6">
        <w:rPr>
          <w:rFonts w:ascii="Times New Roman" w:hAnsi="Times New Roman" w:cs="Times New Roman"/>
          <w:sz w:val="24"/>
          <w:szCs w:val="24"/>
        </w:rPr>
        <w:t xml:space="preserve">controlled Board was not in control of the Association during the period of </w:t>
      </w:r>
      <w:proofErr w:type="spellStart"/>
      <w:r w:rsidR="001E000B" w:rsidRPr="00784DD6">
        <w:rPr>
          <w:rFonts w:ascii="Times New Roman" w:hAnsi="Times New Roman" w:cs="Times New Roman"/>
          <w:sz w:val="24"/>
          <w:szCs w:val="24"/>
        </w:rPr>
        <w:t>Declarant</w:t>
      </w:r>
      <w:proofErr w:type="spellEnd"/>
      <w:r w:rsidR="001E000B" w:rsidRPr="00784DD6">
        <w:rPr>
          <w:rFonts w:ascii="Times New Roman" w:hAnsi="Times New Roman" w:cs="Times New Roman"/>
          <w:sz w:val="24"/>
          <w:szCs w:val="24"/>
        </w:rPr>
        <w:t xml:space="preserve"> control.  There is not a legal requiremen</w:t>
      </w:r>
      <w:r w:rsidR="007B69A2" w:rsidRPr="00784DD6">
        <w:rPr>
          <w:rFonts w:ascii="Times New Roman" w:hAnsi="Times New Roman" w:cs="Times New Roman"/>
          <w:sz w:val="24"/>
          <w:szCs w:val="24"/>
        </w:rPr>
        <w:t xml:space="preserve">t that a Member control Board </w:t>
      </w:r>
      <w:r w:rsidR="000228DC">
        <w:rPr>
          <w:rFonts w:ascii="Times New Roman" w:hAnsi="Times New Roman" w:cs="Times New Roman"/>
          <w:sz w:val="24"/>
          <w:szCs w:val="24"/>
        </w:rPr>
        <w:t>re-</w:t>
      </w:r>
      <w:r w:rsidR="001E000B" w:rsidRPr="00784DD6">
        <w:rPr>
          <w:rFonts w:ascii="Times New Roman" w:hAnsi="Times New Roman" w:cs="Times New Roman"/>
          <w:sz w:val="24"/>
          <w:szCs w:val="24"/>
        </w:rPr>
        <w:t xml:space="preserve">create records from the period of </w:t>
      </w:r>
      <w:proofErr w:type="spellStart"/>
      <w:r w:rsidR="001E000B" w:rsidRPr="00784DD6">
        <w:rPr>
          <w:rFonts w:ascii="Times New Roman" w:hAnsi="Times New Roman" w:cs="Times New Roman"/>
          <w:sz w:val="24"/>
          <w:szCs w:val="24"/>
        </w:rPr>
        <w:t>Declarant</w:t>
      </w:r>
      <w:proofErr w:type="spellEnd"/>
      <w:r w:rsidR="001E000B" w:rsidRPr="00784DD6">
        <w:rPr>
          <w:rFonts w:ascii="Times New Roman" w:hAnsi="Times New Roman" w:cs="Times New Roman"/>
          <w:sz w:val="24"/>
          <w:szCs w:val="24"/>
        </w:rPr>
        <w:t xml:space="preserve"> control.  </w:t>
      </w:r>
      <w:r w:rsidR="000228DC">
        <w:rPr>
          <w:rFonts w:ascii="Times New Roman" w:hAnsi="Times New Roman" w:cs="Times New Roman"/>
          <w:sz w:val="24"/>
          <w:szCs w:val="24"/>
        </w:rPr>
        <w:t>Also, the Board can:</w:t>
      </w:r>
    </w:p>
    <w:p w:rsidR="001E000B" w:rsidRPr="00E848EA" w:rsidRDefault="001E000B" w:rsidP="007B69A2">
      <w:pPr>
        <w:pStyle w:val="ListParagraph"/>
        <w:numPr>
          <w:ilvl w:val="1"/>
          <w:numId w:val="1"/>
        </w:numPr>
        <w:spacing w:line="240" w:lineRule="auto"/>
        <w:rPr>
          <w:rFonts w:ascii="Times New Roman" w:hAnsi="Times New Roman" w:cs="Times New Roman"/>
          <w:sz w:val="24"/>
          <w:szCs w:val="24"/>
        </w:rPr>
      </w:pPr>
      <w:r w:rsidRPr="00E848EA">
        <w:rPr>
          <w:rFonts w:ascii="Times New Roman" w:hAnsi="Times New Roman" w:cs="Times New Roman"/>
          <w:sz w:val="24"/>
          <w:szCs w:val="24"/>
        </w:rPr>
        <w:t xml:space="preserve">offer to allow the </w:t>
      </w:r>
      <w:proofErr w:type="spellStart"/>
      <w:r w:rsidRPr="00E848EA">
        <w:rPr>
          <w:rFonts w:ascii="Times New Roman" w:hAnsi="Times New Roman" w:cs="Times New Roman"/>
          <w:sz w:val="24"/>
          <w:szCs w:val="24"/>
        </w:rPr>
        <w:t>Sharmas</w:t>
      </w:r>
      <w:proofErr w:type="spellEnd"/>
      <w:r w:rsidRPr="00E848EA">
        <w:rPr>
          <w:rFonts w:ascii="Times New Roman" w:hAnsi="Times New Roman" w:cs="Times New Roman"/>
          <w:sz w:val="24"/>
          <w:szCs w:val="24"/>
        </w:rPr>
        <w:t xml:space="preserve"> to inspect/copy records; </w:t>
      </w:r>
    </w:p>
    <w:p w:rsidR="001E000B" w:rsidRPr="00E848EA" w:rsidRDefault="001E000B" w:rsidP="007B69A2">
      <w:pPr>
        <w:pStyle w:val="ListParagraph"/>
        <w:numPr>
          <w:ilvl w:val="1"/>
          <w:numId w:val="1"/>
        </w:numPr>
        <w:spacing w:line="240" w:lineRule="auto"/>
        <w:rPr>
          <w:rFonts w:ascii="Times New Roman" w:hAnsi="Times New Roman" w:cs="Times New Roman"/>
          <w:sz w:val="24"/>
          <w:szCs w:val="24"/>
        </w:rPr>
      </w:pPr>
      <w:r w:rsidRPr="00E848EA">
        <w:rPr>
          <w:rFonts w:ascii="Times New Roman" w:hAnsi="Times New Roman" w:cs="Times New Roman"/>
          <w:sz w:val="24"/>
          <w:szCs w:val="24"/>
        </w:rPr>
        <w:t xml:space="preserve">perform this research and provide it to the </w:t>
      </w:r>
      <w:proofErr w:type="spellStart"/>
      <w:r w:rsidRPr="00E848EA">
        <w:rPr>
          <w:rFonts w:ascii="Times New Roman" w:hAnsi="Times New Roman" w:cs="Times New Roman"/>
          <w:sz w:val="24"/>
          <w:szCs w:val="24"/>
        </w:rPr>
        <w:t>Sharmas</w:t>
      </w:r>
      <w:proofErr w:type="spellEnd"/>
      <w:r w:rsidRPr="00E848EA">
        <w:rPr>
          <w:rFonts w:ascii="Times New Roman" w:hAnsi="Times New Roman" w:cs="Times New Roman"/>
          <w:sz w:val="24"/>
          <w:szCs w:val="24"/>
        </w:rPr>
        <w:t>; and/or</w:t>
      </w:r>
    </w:p>
    <w:p w:rsidR="00ED3649" w:rsidRPr="00E848EA" w:rsidRDefault="001E000B" w:rsidP="00784DD6">
      <w:pPr>
        <w:pStyle w:val="ListParagraph"/>
        <w:numPr>
          <w:ilvl w:val="1"/>
          <w:numId w:val="1"/>
        </w:numPr>
        <w:spacing w:line="240" w:lineRule="auto"/>
        <w:rPr>
          <w:rFonts w:ascii="Times New Roman" w:hAnsi="Times New Roman" w:cs="Times New Roman"/>
          <w:sz w:val="24"/>
          <w:szCs w:val="24"/>
        </w:rPr>
      </w:pPr>
      <w:r w:rsidRPr="00E848EA">
        <w:rPr>
          <w:rFonts w:ascii="Times New Roman" w:hAnsi="Times New Roman" w:cs="Times New Roman"/>
          <w:sz w:val="24"/>
          <w:szCs w:val="24"/>
        </w:rPr>
        <w:t xml:space="preserve">advise the </w:t>
      </w:r>
      <w:proofErr w:type="spellStart"/>
      <w:r w:rsidRPr="00E848EA">
        <w:rPr>
          <w:rFonts w:ascii="Times New Roman" w:hAnsi="Times New Roman" w:cs="Times New Roman"/>
          <w:sz w:val="24"/>
          <w:szCs w:val="24"/>
        </w:rPr>
        <w:t>Sharmas</w:t>
      </w:r>
      <w:proofErr w:type="spellEnd"/>
      <w:r w:rsidRPr="00E848EA">
        <w:rPr>
          <w:rFonts w:ascii="Times New Roman" w:hAnsi="Times New Roman" w:cs="Times New Roman"/>
          <w:sz w:val="24"/>
          <w:szCs w:val="24"/>
        </w:rPr>
        <w:t xml:space="preserve"> to effectuate any annexation or conveyance of property these records must be recorded with the Gilpin County Clerk and Recorder and, therefor</w:t>
      </w:r>
      <w:r w:rsidR="00784DD6" w:rsidRPr="00E848EA">
        <w:rPr>
          <w:rFonts w:ascii="Times New Roman" w:hAnsi="Times New Roman" w:cs="Times New Roman"/>
          <w:sz w:val="24"/>
          <w:szCs w:val="24"/>
        </w:rPr>
        <w:t xml:space="preserve">e, are available to the </w:t>
      </w:r>
      <w:proofErr w:type="spellStart"/>
      <w:r w:rsidR="00784DD6" w:rsidRPr="00E848EA">
        <w:rPr>
          <w:rFonts w:ascii="Times New Roman" w:hAnsi="Times New Roman" w:cs="Times New Roman"/>
          <w:sz w:val="24"/>
          <w:szCs w:val="24"/>
        </w:rPr>
        <w:t>Sharmas</w:t>
      </w:r>
      <w:proofErr w:type="spellEnd"/>
      <w:r w:rsidRPr="00E848EA">
        <w:rPr>
          <w:rFonts w:ascii="Times New Roman" w:hAnsi="Times New Roman" w:cs="Times New Roman"/>
          <w:sz w:val="24"/>
          <w:szCs w:val="24"/>
        </w:rPr>
        <w:t xml:space="preserve">   </w:t>
      </w:r>
    </w:p>
    <w:p w:rsidR="00507DFE" w:rsidRPr="00784DD6" w:rsidRDefault="00507DFE" w:rsidP="007B69A2">
      <w:pPr>
        <w:pStyle w:val="ListParagraph"/>
        <w:numPr>
          <w:ilvl w:val="0"/>
          <w:numId w:val="1"/>
        </w:numPr>
        <w:spacing w:line="240" w:lineRule="auto"/>
        <w:rPr>
          <w:rFonts w:ascii="Times New Roman" w:hAnsi="Times New Roman" w:cs="Times New Roman"/>
          <w:sz w:val="24"/>
          <w:szCs w:val="24"/>
        </w:rPr>
      </w:pPr>
      <w:r w:rsidRPr="00784DD6">
        <w:rPr>
          <w:rFonts w:ascii="Times New Roman" w:hAnsi="Times New Roman" w:cs="Times New Roman"/>
          <w:sz w:val="24"/>
          <w:szCs w:val="24"/>
        </w:rPr>
        <w:t>I do not know</w:t>
      </w:r>
      <w:r w:rsidR="00A416B5" w:rsidRPr="00784DD6">
        <w:rPr>
          <w:rFonts w:ascii="Times New Roman" w:hAnsi="Times New Roman" w:cs="Times New Roman"/>
          <w:sz w:val="24"/>
          <w:szCs w:val="24"/>
        </w:rPr>
        <w:t xml:space="preserve"> the date when the </w:t>
      </w:r>
      <w:proofErr w:type="spellStart"/>
      <w:r w:rsidR="00A416B5" w:rsidRPr="00784DD6">
        <w:rPr>
          <w:rFonts w:ascii="Times New Roman" w:hAnsi="Times New Roman" w:cs="Times New Roman"/>
          <w:sz w:val="24"/>
          <w:szCs w:val="24"/>
        </w:rPr>
        <w:t>Declarant</w:t>
      </w:r>
      <w:proofErr w:type="spellEnd"/>
      <w:r w:rsidR="00A416B5" w:rsidRPr="00784DD6">
        <w:rPr>
          <w:rFonts w:ascii="Times New Roman" w:hAnsi="Times New Roman" w:cs="Times New Roman"/>
          <w:sz w:val="24"/>
          <w:szCs w:val="24"/>
        </w:rPr>
        <w:t xml:space="preserve"> gave </w:t>
      </w:r>
      <w:r w:rsidR="007B69A2" w:rsidRPr="00784DD6">
        <w:rPr>
          <w:rFonts w:ascii="Times New Roman" w:hAnsi="Times New Roman" w:cs="Times New Roman"/>
          <w:sz w:val="24"/>
          <w:szCs w:val="24"/>
        </w:rPr>
        <w:t>over control and a M</w:t>
      </w:r>
      <w:r w:rsidR="00A416B5" w:rsidRPr="00784DD6">
        <w:rPr>
          <w:rFonts w:ascii="Times New Roman" w:hAnsi="Times New Roman" w:cs="Times New Roman"/>
          <w:sz w:val="24"/>
          <w:szCs w:val="24"/>
        </w:rPr>
        <w:t xml:space="preserve">ember elected Board was put in place.  </w:t>
      </w:r>
      <w:r w:rsidRPr="00784DD6">
        <w:rPr>
          <w:rFonts w:ascii="Times New Roman" w:hAnsi="Times New Roman" w:cs="Times New Roman"/>
          <w:sz w:val="24"/>
          <w:szCs w:val="24"/>
        </w:rPr>
        <w:t xml:space="preserve">It should be in </w:t>
      </w:r>
      <w:r w:rsidR="007B69A2" w:rsidRPr="00784DD6">
        <w:rPr>
          <w:rFonts w:ascii="Times New Roman" w:hAnsi="Times New Roman" w:cs="Times New Roman"/>
          <w:sz w:val="24"/>
          <w:szCs w:val="24"/>
        </w:rPr>
        <w:t xml:space="preserve">Association </w:t>
      </w:r>
      <w:r w:rsidRPr="00784DD6">
        <w:rPr>
          <w:rFonts w:ascii="Times New Roman" w:hAnsi="Times New Roman" w:cs="Times New Roman"/>
          <w:sz w:val="24"/>
          <w:szCs w:val="24"/>
        </w:rPr>
        <w:t xml:space="preserve">meeting minutes.  </w:t>
      </w:r>
      <w:r w:rsidR="00D0705C" w:rsidRPr="00784DD6">
        <w:rPr>
          <w:rFonts w:ascii="Times New Roman" w:hAnsi="Times New Roman" w:cs="Times New Roman"/>
          <w:sz w:val="24"/>
          <w:szCs w:val="24"/>
        </w:rPr>
        <w:t xml:space="preserve">I would estimate that the election took place on or about April 2018.  </w:t>
      </w:r>
      <w:r w:rsidR="007B69A2" w:rsidRPr="00784DD6">
        <w:rPr>
          <w:rFonts w:ascii="Times New Roman" w:hAnsi="Times New Roman" w:cs="Times New Roman"/>
          <w:sz w:val="24"/>
          <w:szCs w:val="24"/>
          <w:u w:val="single"/>
        </w:rPr>
        <w:t>Can you let me know</w:t>
      </w:r>
      <w:r w:rsidR="007B69A2" w:rsidRPr="00784DD6">
        <w:rPr>
          <w:rFonts w:ascii="Times New Roman" w:hAnsi="Times New Roman" w:cs="Times New Roman"/>
          <w:sz w:val="24"/>
          <w:szCs w:val="24"/>
        </w:rPr>
        <w:t>?  This is the date that I would</w:t>
      </w:r>
      <w:r w:rsidR="000228DC">
        <w:rPr>
          <w:rFonts w:ascii="Times New Roman" w:hAnsi="Times New Roman" w:cs="Times New Roman"/>
          <w:sz w:val="24"/>
          <w:szCs w:val="24"/>
        </w:rPr>
        <w:t xml:space="preserve"> be</w:t>
      </w:r>
      <w:r w:rsidR="007B69A2" w:rsidRPr="00784DD6">
        <w:rPr>
          <w:rFonts w:ascii="Times New Roman" w:hAnsi="Times New Roman" w:cs="Times New Roman"/>
          <w:sz w:val="24"/>
          <w:szCs w:val="24"/>
        </w:rPr>
        <w:t xml:space="preserve"> inclined to share with </w:t>
      </w:r>
      <w:proofErr w:type="spellStart"/>
      <w:r w:rsidR="007B69A2" w:rsidRPr="00784DD6">
        <w:rPr>
          <w:rFonts w:ascii="Times New Roman" w:hAnsi="Times New Roman" w:cs="Times New Roman"/>
          <w:sz w:val="24"/>
          <w:szCs w:val="24"/>
        </w:rPr>
        <w:t>Jaworski</w:t>
      </w:r>
      <w:proofErr w:type="spellEnd"/>
      <w:r w:rsidR="007B69A2" w:rsidRPr="00784DD6">
        <w:rPr>
          <w:rFonts w:ascii="Times New Roman" w:hAnsi="Times New Roman" w:cs="Times New Roman"/>
          <w:sz w:val="24"/>
          <w:szCs w:val="24"/>
        </w:rPr>
        <w:t>.</w:t>
      </w:r>
      <w:r w:rsidR="000228DC" w:rsidRPr="000228DC">
        <w:rPr>
          <w:rFonts w:ascii="Times New Roman" w:hAnsi="Times New Roman" w:cs="Times New Roman"/>
          <w:sz w:val="24"/>
          <w:szCs w:val="24"/>
        </w:rPr>
        <w:t xml:space="preserve"> </w:t>
      </w:r>
      <w:r w:rsidR="000228DC">
        <w:rPr>
          <w:rFonts w:ascii="Times New Roman" w:hAnsi="Times New Roman" w:cs="Times New Roman"/>
          <w:sz w:val="24"/>
          <w:szCs w:val="24"/>
        </w:rPr>
        <w:t xml:space="preserve">I would suggest that the </w:t>
      </w:r>
      <w:r w:rsidR="000228DC" w:rsidRPr="00784DD6">
        <w:rPr>
          <w:rFonts w:ascii="Times New Roman" w:hAnsi="Times New Roman" w:cs="Times New Roman"/>
          <w:sz w:val="24"/>
          <w:szCs w:val="24"/>
        </w:rPr>
        <w:t xml:space="preserve">Board </w:t>
      </w:r>
      <w:r w:rsidR="000228DC">
        <w:rPr>
          <w:rFonts w:ascii="Times New Roman" w:hAnsi="Times New Roman" w:cs="Times New Roman"/>
          <w:sz w:val="24"/>
          <w:szCs w:val="24"/>
        </w:rPr>
        <w:t>not research</w:t>
      </w:r>
      <w:r w:rsidR="000228DC" w:rsidRPr="00784DD6">
        <w:rPr>
          <w:rFonts w:ascii="Times New Roman" w:hAnsi="Times New Roman" w:cs="Times New Roman"/>
          <w:sz w:val="24"/>
          <w:szCs w:val="24"/>
        </w:rPr>
        <w:t xml:space="preserve"> whether the period of </w:t>
      </w:r>
      <w:proofErr w:type="spellStart"/>
      <w:r w:rsidR="000228DC" w:rsidRPr="00784DD6">
        <w:rPr>
          <w:rFonts w:ascii="Times New Roman" w:hAnsi="Times New Roman" w:cs="Times New Roman"/>
          <w:sz w:val="24"/>
          <w:szCs w:val="24"/>
        </w:rPr>
        <w:t>Declarant</w:t>
      </w:r>
      <w:proofErr w:type="spellEnd"/>
      <w:r w:rsidR="000228DC" w:rsidRPr="00784DD6">
        <w:rPr>
          <w:rFonts w:ascii="Times New Roman" w:hAnsi="Times New Roman" w:cs="Times New Roman"/>
          <w:sz w:val="24"/>
          <w:szCs w:val="24"/>
        </w:rPr>
        <w:t xml:space="preserve"> control ended prior to the election date at this time</w:t>
      </w:r>
      <w:r w:rsidR="000228DC">
        <w:rPr>
          <w:rFonts w:ascii="Times New Roman" w:hAnsi="Times New Roman" w:cs="Times New Roman"/>
          <w:sz w:val="24"/>
          <w:szCs w:val="24"/>
        </w:rPr>
        <w:t>.  T</w:t>
      </w:r>
      <w:r w:rsidR="000228DC" w:rsidRPr="00784DD6">
        <w:rPr>
          <w:rFonts w:ascii="Times New Roman" w:hAnsi="Times New Roman" w:cs="Times New Roman"/>
          <w:sz w:val="24"/>
          <w:szCs w:val="24"/>
        </w:rPr>
        <w:t xml:space="preserve">he </w:t>
      </w:r>
      <w:proofErr w:type="spellStart"/>
      <w:r w:rsidR="000228DC" w:rsidRPr="00784DD6">
        <w:rPr>
          <w:rFonts w:ascii="Times New Roman" w:hAnsi="Times New Roman" w:cs="Times New Roman"/>
          <w:sz w:val="24"/>
          <w:szCs w:val="24"/>
        </w:rPr>
        <w:t>Sharmas</w:t>
      </w:r>
      <w:proofErr w:type="spellEnd"/>
      <w:r w:rsidR="000228DC" w:rsidRPr="00784DD6">
        <w:rPr>
          <w:rFonts w:ascii="Times New Roman" w:hAnsi="Times New Roman" w:cs="Times New Roman"/>
          <w:sz w:val="24"/>
          <w:szCs w:val="24"/>
        </w:rPr>
        <w:t xml:space="preserve"> are free to research this issue.   </w:t>
      </w:r>
    </w:p>
    <w:p w:rsidR="001E000B" w:rsidRPr="00784DD6" w:rsidRDefault="00D0705C" w:rsidP="007B69A2">
      <w:pPr>
        <w:pStyle w:val="ListParagraph"/>
        <w:numPr>
          <w:ilvl w:val="0"/>
          <w:numId w:val="1"/>
        </w:numPr>
        <w:spacing w:line="240" w:lineRule="auto"/>
        <w:rPr>
          <w:rFonts w:ascii="Times New Roman" w:hAnsi="Times New Roman" w:cs="Times New Roman"/>
          <w:sz w:val="24"/>
          <w:szCs w:val="24"/>
        </w:rPr>
      </w:pPr>
      <w:r w:rsidRPr="00784DD6">
        <w:rPr>
          <w:rFonts w:ascii="Times New Roman" w:hAnsi="Times New Roman" w:cs="Times New Roman"/>
          <w:sz w:val="24"/>
          <w:szCs w:val="24"/>
        </w:rPr>
        <w:t xml:space="preserve">I am inclined to tell </w:t>
      </w:r>
      <w:proofErr w:type="spellStart"/>
      <w:r w:rsidRPr="00784DD6">
        <w:rPr>
          <w:rFonts w:ascii="Times New Roman" w:hAnsi="Times New Roman" w:cs="Times New Roman"/>
          <w:sz w:val="24"/>
          <w:szCs w:val="24"/>
        </w:rPr>
        <w:t>Jaworski</w:t>
      </w:r>
      <w:proofErr w:type="spellEnd"/>
      <w:r w:rsidRPr="00784DD6">
        <w:rPr>
          <w:rFonts w:ascii="Times New Roman" w:hAnsi="Times New Roman" w:cs="Times New Roman"/>
          <w:sz w:val="24"/>
          <w:szCs w:val="24"/>
        </w:rPr>
        <w:t xml:space="preserve"> that: </w:t>
      </w:r>
      <w:r w:rsidR="00E848EA">
        <w:rPr>
          <w:rFonts w:ascii="Times New Roman" w:hAnsi="Times New Roman" w:cs="Times New Roman"/>
          <w:sz w:val="24"/>
          <w:szCs w:val="24"/>
        </w:rPr>
        <w:t xml:space="preserve">current </w:t>
      </w:r>
      <w:r w:rsidRPr="00784DD6">
        <w:rPr>
          <w:rFonts w:ascii="Times New Roman" w:hAnsi="Times New Roman" w:cs="Times New Roman"/>
          <w:sz w:val="24"/>
          <w:szCs w:val="24"/>
        </w:rPr>
        <w:t>B</w:t>
      </w:r>
      <w:r w:rsidR="00E848EA">
        <w:rPr>
          <w:rFonts w:ascii="Times New Roman" w:hAnsi="Times New Roman" w:cs="Times New Roman"/>
          <w:sz w:val="24"/>
          <w:szCs w:val="24"/>
        </w:rPr>
        <w:t xml:space="preserve">oard was elected by the members and </w:t>
      </w:r>
      <w:r w:rsidRPr="00784DD6">
        <w:rPr>
          <w:rFonts w:ascii="Times New Roman" w:hAnsi="Times New Roman" w:cs="Times New Roman"/>
          <w:sz w:val="24"/>
          <w:szCs w:val="24"/>
        </w:rPr>
        <w:t>the date members elected their first member-controlled Board</w:t>
      </w:r>
      <w:r w:rsidR="00E848EA">
        <w:rPr>
          <w:rFonts w:ascii="Times New Roman" w:hAnsi="Times New Roman" w:cs="Times New Roman"/>
          <w:sz w:val="24"/>
          <w:szCs w:val="24"/>
        </w:rPr>
        <w:t xml:space="preserve">.  </w:t>
      </w:r>
    </w:p>
    <w:p w:rsidR="00D0705C" w:rsidRPr="00784DD6" w:rsidRDefault="00D0705C" w:rsidP="007B69A2">
      <w:pPr>
        <w:spacing w:line="240" w:lineRule="auto"/>
        <w:contextualSpacing/>
        <w:rPr>
          <w:rFonts w:ascii="Times New Roman" w:hAnsi="Times New Roman" w:cs="Times New Roman"/>
          <w:b/>
          <w:bCs/>
          <w:sz w:val="24"/>
          <w:szCs w:val="24"/>
        </w:rPr>
      </w:pPr>
      <w:r w:rsidRPr="00784DD6">
        <w:rPr>
          <w:rFonts w:ascii="Times New Roman" w:hAnsi="Times New Roman" w:cs="Times New Roman"/>
          <w:b/>
          <w:bCs/>
          <w:sz w:val="24"/>
          <w:szCs w:val="24"/>
        </w:rPr>
        <w:t xml:space="preserve">Turnover of Association Records and Financial Audit following turnover of the Board from </w:t>
      </w:r>
      <w:proofErr w:type="spellStart"/>
      <w:r w:rsidRPr="00784DD6">
        <w:rPr>
          <w:rFonts w:ascii="Times New Roman" w:hAnsi="Times New Roman" w:cs="Times New Roman"/>
          <w:b/>
          <w:bCs/>
          <w:sz w:val="24"/>
          <w:szCs w:val="24"/>
        </w:rPr>
        <w:t>Declarant</w:t>
      </w:r>
      <w:proofErr w:type="spellEnd"/>
    </w:p>
    <w:p w:rsidR="003B18FF" w:rsidRPr="00784DD6" w:rsidRDefault="00CF702B" w:rsidP="007B69A2">
      <w:pPr>
        <w:pStyle w:val="ListParagraph"/>
        <w:numPr>
          <w:ilvl w:val="0"/>
          <w:numId w:val="1"/>
        </w:numPr>
        <w:spacing w:line="240" w:lineRule="auto"/>
        <w:rPr>
          <w:rFonts w:ascii="Times New Roman" w:hAnsi="Times New Roman" w:cs="Times New Roman"/>
          <w:sz w:val="24"/>
          <w:szCs w:val="24"/>
        </w:rPr>
      </w:pPr>
      <w:r w:rsidRPr="00784DD6">
        <w:rPr>
          <w:rFonts w:ascii="Times New Roman" w:hAnsi="Times New Roman" w:cs="Times New Roman"/>
          <w:sz w:val="24"/>
          <w:szCs w:val="24"/>
        </w:rPr>
        <w:t xml:space="preserve">Please provide me with all documents wherein the Board requested this audit and the developer’s response to such requests. </w:t>
      </w:r>
      <w:r w:rsidR="007B69A2" w:rsidRPr="00784DD6">
        <w:rPr>
          <w:rFonts w:ascii="Times New Roman" w:hAnsi="Times New Roman" w:cs="Times New Roman"/>
          <w:sz w:val="24"/>
          <w:szCs w:val="24"/>
        </w:rPr>
        <w:t xml:space="preserve"> </w:t>
      </w:r>
      <w:r w:rsidRPr="00E848EA">
        <w:rPr>
          <w:rFonts w:ascii="Times New Roman" w:hAnsi="Times New Roman" w:cs="Times New Roman"/>
          <w:sz w:val="24"/>
          <w:szCs w:val="24"/>
          <w:u w:val="single"/>
        </w:rPr>
        <w:t>Does the Board want to provide these documents</w:t>
      </w:r>
      <w:r w:rsidR="003B18FF" w:rsidRPr="00E848EA">
        <w:rPr>
          <w:rFonts w:ascii="Times New Roman" w:hAnsi="Times New Roman" w:cs="Times New Roman"/>
          <w:sz w:val="24"/>
          <w:szCs w:val="24"/>
          <w:u w:val="single"/>
        </w:rPr>
        <w:t xml:space="preserve"> to him</w:t>
      </w:r>
      <w:r w:rsidRPr="00784DD6">
        <w:rPr>
          <w:rFonts w:ascii="Times New Roman" w:hAnsi="Times New Roman" w:cs="Times New Roman"/>
          <w:sz w:val="24"/>
          <w:szCs w:val="24"/>
        </w:rPr>
        <w:t xml:space="preserve">?  </w:t>
      </w:r>
    </w:p>
    <w:p w:rsidR="003B18FF" w:rsidRPr="00784DD6" w:rsidRDefault="003B18FF" w:rsidP="007B69A2">
      <w:pPr>
        <w:pStyle w:val="ListParagraph"/>
        <w:numPr>
          <w:ilvl w:val="0"/>
          <w:numId w:val="1"/>
        </w:numPr>
        <w:spacing w:line="240" w:lineRule="auto"/>
        <w:rPr>
          <w:rFonts w:ascii="Times New Roman" w:hAnsi="Times New Roman" w:cs="Times New Roman"/>
          <w:sz w:val="24"/>
          <w:szCs w:val="24"/>
        </w:rPr>
      </w:pPr>
      <w:proofErr w:type="spellStart"/>
      <w:r w:rsidRPr="00784DD6">
        <w:rPr>
          <w:rFonts w:ascii="Times New Roman" w:hAnsi="Times New Roman" w:cs="Times New Roman"/>
          <w:sz w:val="24"/>
          <w:szCs w:val="24"/>
        </w:rPr>
        <w:t>Jaworski</w:t>
      </w:r>
      <w:proofErr w:type="spellEnd"/>
      <w:r w:rsidRPr="00784DD6">
        <w:rPr>
          <w:rFonts w:ascii="Times New Roman" w:hAnsi="Times New Roman" w:cs="Times New Roman"/>
          <w:sz w:val="24"/>
          <w:szCs w:val="24"/>
        </w:rPr>
        <w:t xml:space="preserve"> </w:t>
      </w:r>
      <w:r w:rsidR="00D43AAD" w:rsidRPr="00784DD6">
        <w:rPr>
          <w:rFonts w:ascii="Times New Roman" w:hAnsi="Times New Roman" w:cs="Times New Roman"/>
          <w:sz w:val="24"/>
          <w:szCs w:val="24"/>
        </w:rPr>
        <w:t xml:space="preserve">grossly </w:t>
      </w:r>
      <w:r w:rsidRPr="00784DD6">
        <w:rPr>
          <w:rFonts w:ascii="Times New Roman" w:hAnsi="Times New Roman" w:cs="Times New Roman"/>
          <w:sz w:val="24"/>
          <w:szCs w:val="24"/>
        </w:rPr>
        <w:t>misrepresents the law when he says</w:t>
      </w:r>
      <w:r w:rsidR="007B69A2" w:rsidRPr="00784DD6">
        <w:rPr>
          <w:rFonts w:ascii="Times New Roman" w:hAnsi="Times New Roman" w:cs="Times New Roman"/>
          <w:sz w:val="24"/>
          <w:szCs w:val="24"/>
        </w:rPr>
        <w:t xml:space="preserve"> in the letter that</w:t>
      </w:r>
      <w:r w:rsidRPr="00784DD6">
        <w:rPr>
          <w:rFonts w:ascii="Times New Roman" w:hAnsi="Times New Roman" w:cs="Times New Roman"/>
          <w:sz w:val="24"/>
          <w:szCs w:val="24"/>
        </w:rPr>
        <w:t xml:space="preserve">: “At a </w:t>
      </w:r>
      <w:r w:rsidRPr="00784DD6">
        <w:rPr>
          <w:rFonts w:ascii="Times New Roman" w:hAnsi="Times New Roman" w:cs="Times New Roman"/>
          <w:i/>
          <w:iCs/>
          <w:sz w:val="24"/>
          <w:szCs w:val="24"/>
        </w:rPr>
        <w:t>minimum</w:t>
      </w:r>
      <w:r w:rsidRPr="00784DD6">
        <w:rPr>
          <w:rFonts w:ascii="Times New Roman" w:hAnsi="Times New Roman" w:cs="Times New Roman"/>
          <w:sz w:val="24"/>
          <w:szCs w:val="24"/>
        </w:rPr>
        <w:t xml:space="preserve">, the Board members’ fiduciary duties to the Association and its members require that you insist on and enforce this obligation. </w:t>
      </w:r>
      <w:r w:rsidRPr="00784DD6">
        <w:rPr>
          <w:rFonts w:ascii="Times New Roman" w:hAnsi="Times New Roman" w:cs="Times New Roman"/>
          <w:i/>
          <w:iCs/>
          <w:sz w:val="24"/>
          <w:szCs w:val="24"/>
        </w:rPr>
        <w:t xml:space="preserve">See, </w:t>
      </w:r>
      <w:r w:rsidRPr="00784DD6">
        <w:rPr>
          <w:rFonts w:ascii="Times New Roman" w:hAnsi="Times New Roman" w:cs="Times New Roman"/>
          <w:sz w:val="24"/>
          <w:szCs w:val="24"/>
        </w:rPr>
        <w:t xml:space="preserve">C.R.S. §7-128-401; </w:t>
      </w:r>
      <w:r w:rsidRPr="00784DD6">
        <w:rPr>
          <w:rFonts w:ascii="Times New Roman" w:hAnsi="Times New Roman" w:cs="Times New Roman"/>
          <w:i/>
          <w:iCs/>
          <w:sz w:val="24"/>
          <w:szCs w:val="24"/>
        </w:rPr>
        <w:t xml:space="preserve">McDonnell v. The Colorado Real Estate </w:t>
      </w:r>
      <w:proofErr w:type="spellStart"/>
      <w:r w:rsidRPr="00784DD6">
        <w:rPr>
          <w:rFonts w:ascii="Times New Roman" w:hAnsi="Times New Roman" w:cs="Times New Roman"/>
          <w:i/>
          <w:iCs/>
          <w:sz w:val="24"/>
          <w:szCs w:val="24"/>
        </w:rPr>
        <w:t>Comm'n</w:t>
      </w:r>
      <w:proofErr w:type="spellEnd"/>
      <w:r w:rsidRPr="00784DD6">
        <w:rPr>
          <w:rFonts w:ascii="Times New Roman" w:hAnsi="Times New Roman" w:cs="Times New Roman"/>
          <w:sz w:val="24"/>
          <w:szCs w:val="24"/>
        </w:rPr>
        <w:t>, 361 P.3d 1138, 1141 (Colo. App. 2015).”</w:t>
      </w:r>
    </w:p>
    <w:p w:rsidR="00CF702B" w:rsidRPr="00784DD6" w:rsidRDefault="003B18FF" w:rsidP="007B69A2">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784DD6">
        <w:rPr>
          <w:rFonts w:ascii="Times New Roman" w:hAnsi="Times New Roman" w:cs="Times New Roman"/>
          <w:bCs/>
          <w:sz w:val="24"/>
          <w:szCs w:val="24"/>
        </w:rPr>
        <w:t>§ 7-128-401</w:t>
      </w:r>
      <w:r w:rsidR="007D4E98" w:rsidRPr="00784DD6">
        <w:rPr>
          <w:rFonts w:ascii="Times New Roman" w:hAnsi="Times New Roman" w:cs="Times New Roman"/>
          <w:bCs/>
          <w:sz w:val="24"/>
          <w:szCs w:val="24"/>
        </w:rPr>
        <w:t xml:space="preserve"> (Non-profit Act)</w:t>
      </w:r>
      <w:r w:rsidRPr="00784DD6">
        <w:rPr>
          <w:rFonts w:ascii="Times New Roman" w:hAnsi="Times New Roman" w:cs="Times New Roman"/>
          <w:bCs/>
          <w:sz w:val="24"/>
          <w:szCs w:val="24"/>
        </w:rPr>
        <w:t xml:space="preserve"> provides that “</w:t>
      </w:r>
      <w:r w:rsidRPr="00784DD6">
        <w:rPr>
          <w:rFonts w:ascii="Times New Roman" w:hAnsi="Times New Roman" w:cs="Times New Roman"/>
          <w:sz w:val="24"/>
          <w:szCs w:val="24"/>
        </w:rPr>
        <w:t xml:space="preserve">(6) A director or officer of a nonprofit corporation, in the performance of duties in that capacity, shall </w:t>
      </w:r>
      <w:r w:rsidRPr="00784DD6">
        <w:rPr>
          <w:rFonts w:ascii="Times New Roman" w:hAnsi="Times New Roman" w:cs="Times New Roman"/>
          <w:sz w:val="24"/>
          <w:szCs w:val="24"/>
          <w:u w:val="single"/>
        </w:rPr>
        <w:t>not</w:t>
      </w:r>
      <w:r w:rsidRPr="00784DD6">
        <w:rPr>
          <w:rFonts w:ascii="Times New Roman" w:hAnsi="Times New Roman" w:cs="Times New Roman"/>
          <w:sz w:val="24"/>
          <w:szCs w:val="24"/>
        </w:rPr>
        <w:t xml:space="preserve"> have any fiduciary duty to any creditor of the nonprofit corporation arising only from the status as a creditor.” </w:t>
      </w:r>
      <w:r w:rsidR="0007293E" w:rsidRPr="00784DD6">
        <w:rPr>
          <w:rFonts w:ascii="Times New Roman" w:hAnsi="Times New Roman" w:cs="Times New Roman"/>
          <w:sz w:val="24"/>
          <w:szCs w:val="24"/>
        </w:rPr>
        <w:t xml:space="preserve"> That is the only time</w:t>
      </w:r>
      <w:r w:rsidRPr="00784DD6">
        <w:rPr>
          <w:rFonts w:ascii="Times New Roman" w:hAnsi="Times New Roman" w:cs="Times New Roman"/>
          <w:sz w:val="24"/>
          <w:szCs w:val="24"/>
        </w:rPr>
        <w:t xml:space="preserve"> </w:t>
      </w:r>
      <w:r w:rsidRPr="00784DD6">
        <w:rPr>
          <w:rFonts w:ascii="Times New Roman" w:hAnsi="Times New Roman" w:cs="Times New Roman"/>
          <w:bCs/>
          <w:sz w:val="24"/>
          <w:szCs w:val="24"/>
        </w:rPr>
        <w:t>§ 7-128-401 uses the word “fiduciary.”</w:t>
      </w:r>
    </w:p>
    <w:p w:rsidR="00CF702B" w:rsidRPr="00784DD6" w:rsidRDefault="00CF702B" w:rsidP="007B69A2">
      <w:pPr>
        <w:pStyle w:val="NormalWeb"/>
        <w:numPr>
          <w:ilvl w:val="0"/>
          <w:numId w:val="4"/>
        </w:numPr>
        <w:shd w:val="clear" w:color="auto" w:fill="FFFFFF"/>
        <w:contextualSpacing/>
      </w:pPr>
      <w:r w:rsidRPr="00784DD6">
        <w:rPr>
          <w:i/>
          <w:iCs/>
        </w:rPr>
        <w:t xml:space="preserve">McDonnell v. Colo. Real Estate </w:t>
      </w:r>
      <w:proofErr w:type="spellStart"/>
      <w:r w:rsidRPr="00784DD6">
        <w:rPr>
          <w:i/>
          <w:iCs/>
        </w:rPr>
        <w:t>Comm'n</w:t>
      </w:r>
      <w:proofErr w:type="spellEnd"/>
      <w:r w:rsidRPr="00784DD6">
        <w:t xml:space="preserve">, 2015 COA 137, 361 P.3d 1138, (2015) is not </w:t>
      </w:r>
      <w:r w:rsidR="0007293E" w:rsidRPr="00784DD6">
        <w:t>relevant</w:t>
      </w:r>
      <w:r w:rsidRPr="00784DD6">
        <w:t xml:space="preserve">.  This is a case where the </w:t>
      </w:r>
      <w:r w:rsidRPr="00784DD6">
        <w:rPr>
          <w:shd w:val="clear" w:color="auto" w:fill="FFFFFF"/>
        </w:rPr>
        <w:t xml:space="preserve">Colorado Real Estate Commission </w:t>
      </w:r>
      <w:r w:rsidRPr="00784DD6">
        <w:rPr>
          <w:shd w:val="clear" w:color="auto" w:fill="FFFFFF"/>
        </w:rPr>
        <w:lastRenderedPageBreak/>
        <w:t>enforced violations of the Colorado Real Estate Broker License Law</w:t>
      </w:r>
      <w:r w:rsidR="003B18FF" w:rsidRPr="00784DD6">
        <w:rPr>
          <w:shd w:val="clear" w:color="auto" w:fill="FFFFFF"/>
        </w:rPr>
        <w:t xml:space="preserve"> against</w:t>
      </w:r>
      <w:r w:rsidRPr="00784DD6">
        <w:rPr>
          <w:shd w:val="clear" w:color="auto" w:fill="FFFFFF"/>
        </w:rPr>
        <w:t xml:space="preserve"> </w:t>
      </w:r>
      <w:r w:rsidR="003B18FF" w:rsidRPr="00784DD6">
        <w:rPr>
          <w:shd w:val="clear" w:color="auto" w:fill="FFFFFF"/>
        </w:rPr>
        <w:t xml:space="preserve">a licensed real estate broker by </w:t>
      </w:r>
      <w:r w:rsidR="0007293E" w:rsidRPr="00784DD6">
        <w:rPr>
          <w:shd w:val="clear" w:color="auto" w:fill="FFFFFF"/>
        </w:rPr>
        <w:t xml:space="preserve">censuring the Realtor-licensee </w:t>
      </w:r>
      <w:r w:rsidR="003B18FF" w:rsidRPr="00784DD6">
        <w:rPr>
          <w:shd w:val="clear" w:color="auto" w:fill="FFFFFF"/>
        </w:rPr>
        <w:t>as punishment for, w</w:t>
      </w:r>
      <w:r w:rsidRPr="00784DD6">
        <w:rPr>
          <w:shd w:val="clear" w:color="auto" w:fill="FFFFFF"/>
        </w:rPr>
        <w:t xml:space="preserve">hile serving as the president of the HOA, </w:t>
      </w:r>
      <w:r w:rsidR="003B18FF" w:rsidRPr="00784DD6">
        <w:rPr>
          <w:shd w:val="clear" w:color="auto" w:fill="FFFFFF"/>
        </w:rPr>
        <w:t xml:space="preserve">the licensee </w:t>
      </w:r>
      <w:r w:rsidRPr="00784DD6">
        <w:rPr>
          <w:shd w:val="clear" w:color="auto" w:fill="FFFFFF"/>
        </w:rPr>
        <w:t>wrote four checks totaling $10,000 on the HOA's account payable to himself or to his business</w:t>
      </w:r>
      <w:r w:rsidR="003B18FF" w:rsidRPr="00784DD6">
        <w:rPr>
          <w:shd w:val="clear" w:color="auto" w:fill="FFFFFF"/>
        </w:rPr>
        <w:t xml:space="preserve">.  This case has literally nothing to with whether a homeowners association has a duty to enforce </w:t>
      </w:r>
      <w:r w:rsidR="0007293E" w:rsidRPr="00784DD6">
        <w:rPr>
          <w:shd w:val="clear" w:color="auto" w:fill="FFFFFF"/>
        </w:rPr>
        <w:t>any other type of obligation, including any duty to enforce a</w:t>
      </w:r>
      <w:r w:rsidR="003B18FF" w:rsidRPr="00784DD6">
        <w:rPr>
          <w:shd w:val="clear" w:color="auto" w:fill="FFFFFF"/>
        </w:rPr>
        <w:t xml:space="preserve"> </w:t>
      </w:r>
      <w:proofErr w:type="spellStart"/>
      <w:r w:rsidR="003B18FF" w:rsidRPr="00784DD6">
        <w:rPr>
          <w:shd w:val="clear" w:color="auto" w:fill="FFFFFF"/>
        </w:rPr>
        <w:t>declarant</w:t>
      </w:r>
      <w:proofErr w:type="spellEnd"/>
      <w:r w:rsidR="0007293E" w:rsidRPr="00784DD6">
        <w:rPr>
          <w:shd w:val="clear" w:color="auto" w:fill="FFFFFF"/>
        </w:rPr>
        <w:t xml:space="preserve"> providing</w:t>
      </w:r>
      <w:r w:rsidR="003B18FF" w:rsidRPr="00784DD6">
        <w:rPr>
          <w:shd w:val="clear" w:color="auto" w:fill="FFFFFF"/>
        </w:rPr>
        <w:t xml:space="preserve"> an audit</w:t>
      </w:r>
      <w:r w:rsidR="0007293E" w:rsidRPr="00784DD6">
        <w:rPr>
          <w:shd w:val="clear" w:color="auto" w:fill="FFFFFF"/>
        </w:rPr>
        <w:t xml:space="preserve">.  </w:t>
      </w:r>
      <w:r w:rsidR="003B18FF" w:rsidRPr="00784DD6">
        <w:rPr>
          <w:shd w:val="clear" w:color="auto" w:fill="FFFFFF"/>
        </w:rPr>
        <w:t xml:space="preserve">  </w:t>
      </w:r>
    </w:p>
    <w:p w:rsidR="00D43AAD" w:rsidRPr="00784DD6" w:rsidRDefault="00D43AAD" w:rsidP="007B69A2">
      <w:pPr>
        <w:pStyle w:val="NormalWeb"/>
        <w:numPr>
          <w:ilvl w:val="0"/>
          <w:numId w:val="4"/>
        </w:numPr>
        <w:shd w:val="clear" w:color="auto" w:fill="FFFFFF"/>
        <w:contextualSpacing/>
      </w:pPr>
      <w:r w:rsidRPr="00784DD6">
        <w:t xml:space="preserve">Actually—in complete conflict with what </w:t>
      </w:r>
      <w:proofErr w:type="spellStart"/>
      <w:r w:rsidRPr="00784DD6">
        <w:t>Jaworski</w:t>
      </w:r>
      <w:proofErr w:type="spellEnd"/>
      <w:r w:rsidRPr="00784DD6">
        <w:t xml:space="preserve"> argues</w:t>
      </w:r>
      <w:r w:rsidR="000228DC">
        <w:t>—</w:t>
      </w:r>
      <w:r w:rsidR="0007293E" w:rsidRPr="00784DD6">
        <w:rPr>
          <w:shd w:val="clear" w:color="auto" w:fill="FFFFFF"/>
        </w:rPr>
        <w:t>Colorado</w:t>
      </w:r>
      <w:r w:rsidR="000228DC">
        <w:rPr>
          <w:shd w:val="clear" w:color="auto" w:fill="FFFFFF"/>
        </w:rPr>
        <w:t xml:space="preserve"> </w:t>
      </w:r>
      <w:r w:rsidR="0007293E" w:rsidRPr="00784DD6">
        <w:rPr>
          <w:shd w:val="clear" w:color="auto" w:fill="FFFFFF"/>
        </w:rPr>
        <w:t>Common Interest Ownership Act</w:t>
      </w:r>
      <w:r w:rsidR="0007293E" w:rsidRPr="00784DD6">
        <w:t xml:space="preserve"> (“</w:t>
      </w:r>
      <w:r w:rsidRPr="00784DD6">
        <w:t>CCIOA</w:t>
      </w:r>
      <w:r w:rsidR="0007293E" w:rsidRPr="00784DD6">
        <w:t>”)</w:t>
      </w:r>
      <w:r w:rsidRPr="00784DD6">
        <w:t xml:space="preserve"> provides: “Except as otherwise provided in subsection (2.5) of this section:</w:t>
      </w:r>
    </w:p>
    <w:p w:rsidR="00D43AAD" w:rsidRPr="00784DD6" w:rsidRDefault="00D43AAD" w:rsidP="007B69A2">
      <w:pPr>
        <w:pStyle w:val="NormalWeb"/>
        <w:shd w:val="clear" w:color="auto" w:fill="FFFFFF"/>
        <w:ind w:left="2160"/>
        <w:contextualSpacing/>
      </w:pPr>
      <w:r w:rsidRPr="00784DD6">
        <w:t xml:space="preserve">(a) If appointed by the </w:t>
      </w:r>
      <w:proofErr w:type="spellStart"/>
      <w:r w:rsidRPr="00784DD6">
        <w:t>declarant</w:t>
      </w:r>
      <w:proofErr w:type="spellEnd"/>
      <w:r w:rsidRPr="00784DD6">
        <w:t>, in the performance of their duties, the officers and members of the executive board are required to exercise the care required of fiduciaries of the unit owners.</w:t>
      </w:r>
      <w:r w:rsidRPr="00784DD6">
        <w:br/>
        <w:t xml:space="preserve">(b) If not appointed by the </w:t>
      </w:r>
      <w:proofErr w:type="spellStart"/>
      <w:r w:rsidRPr="00784DD6">
        <w:t>declarant</w:t>
      </w:r>
      <w:proofErr w:type="spellEnd"/>
      <w:r w:rsidRPr="00784DD6">
        <w:t xml:space="preserve">, no member of the executive board and no officer shall be liable for actions taken or omissions made in the performance of such member's duties except for wanton and willful acts or omissions.”  </w:t>
      </w:r>
      <w:proofErr w:type="gramStart"/>
      <w:r w:rsidRPr="00784DD6">
        <w:t>C.R.S. § 38-33.3-303(2).</w:t>
      </w:r>
      <w:proofErr w:type="gramEnd"/>
      <w:r w:rsidRPr="00784DD6">
        <w:rPr>
          <w:rStyle w:val="FootnoteReference"/>
          <w:bCs/>
        </w:rPr>
        <w:footnoteReference w:id="1"/>
      </w:r>
      <w:r w:rsidRPr="00784DD6">
        <w:t xml:space="preserve"> </w:t>
      </w:r>
    </w:p>
    <w:p w:rsidR="009009BB" w:rsidRPr="00784DD6" w:rsidRDefault="007D4E98" w:rsidP="007B69A2">
      <w:pPr>
        <w:pStyle w:val="NormalWeb"/>
        <w:numPr>
          <w:ilvl w:val="0"/>
          <w:numId w:val="1"/>
        </w:numPr>
        <w:shd w:val="clear" w:color="auto" w:fill="FFFFFF"/>
        <w:contextualSpacing/>
      </w:pPr>
      <w:r w:rsidRPr="00784DD6">
        <w:t xml:space="preserve">Also, </w:t>
      </w:r>
      <w:proofErr w:type="spellStart"/>
      <w:r w:rsidRPr="00784DD6">
        <w:t>Jaworski</w:t>
      </w:r>
      <w:proofErr w:type="spellEnd"/>
      <w:r w:rsidRPr="00784DD6">
        <w:t xml:space="preserve"> ignores the most relevant provision of the Non-Profit Act relating</w:t>
      </w:r>
      <w:r w:rsidR="006B3540" w:rsidRPr="00784DD6">
        <w:t xml:space="preserve"> to</w:t>
      </w:r>
      <w:r w:rsidRPr="00784DD6">
        <w:t xml:space="preserve"> the business judgment rule.  </w:t>
      </w:r>
      <w:r w:rsidR="009009BB" w:rsidRPr="00784DD6">
        <w:t xml:space="preserve">C.R.S. § 7-128-401(1). We can discuss this in more detail by phone if that would helpful.  </w:t>
      </w:r>
    </w:p>
    <w:p w:rsidR="009009BB" w:rsidRPr="00784DD6" w:rsidRDefault="007D4E98" w:rsidP="007B69A2">
      <w:pPr>
        <w:pStyle w:val="NormalWeb"/>
        <w:numPr>
          <w:ilvl w:val="1"/>
          <w:numId w:val="1"/>
        </w:numPr>
        <w:shd w:val="clear" w:color="auto" w:fill="FFFFFF"/>
        <w:contextualSpacing/>
      </w:pPr>
      <w:r w:rsidRPr="00784DD6">
        <w:rPr>
          <w:i/>
          <w:iCs/>
        </w:rPr>
        <w:t>See</w:t>
      </w:r>
      <w:r w:rsidRPr="00784DD6">
        <w:t xml:space="preserve">, </w:t>
      </w:r>
      <w:r w:rsidRPr="00784DD6">
        <w:rPr>
          <w:i/>
          <w:iCs/>
        </w:rPr>
        <w:t>e.g.</w:t>
      </w:r>
      <w:r w:rsidRPr="00784DD6">
        <w:t xml:space="preserve">, </w:t>
      </w:r>
      <w:proofErr w:type="spellStart"/>
      <w:r w:rsidRPr="00784DD6">
        <w:rPr>
          <w:i/>
        </w:rPr>
        <w:t>Rywalt</w:t>
      </w:r>
      <w:proofErr w:type="spellEnd"/>
      <w:r w:rsidRPr="00784DD6">
        <w:rPr>
          <w:i/>
        </w:rPr>
        <w:t xml:space="preserve"> v. Writer Corp</w:t>
      </w:r>
      <w:r w:rsidRPr="00784DD6">
        <w:t>., 34 Colo. App. 334, 526 P.2d 316 (1974) (good faith acts of corporate directors that are within powers of corporation and exercise of honest business judgment are valid and courts will not, at instance of stockholders or otherwise, interfere with or regulate conduct of directors in reasonable and honest exercise of their jud</w:t>
      </w:r>
      <w:r w:rsidR="001C681C" w:rsidRPr="00784DD6">
        <w:t xml:space="preserve">gment and duties).   </w:t>
      </w:r>
    </w:p>
    <w:p w:rsidR="009009BB" w:rsidRPr="00784DD6" w:rsidRDefault="001C681C" w:rsidP="007B69A2">
      <w:pPr>
        <w:pStyle w:val="NormalWeb"/>
        <w:numPr>
          <w:ilvl w:val="1"/>
          <w:numId w:val="1"/>
        </w:numPr>
        <w:shd w:val="clear" w:color="auto" w:fill="FFFFFF"/>
        <w:contextualSpacing/>
      </w:pPr>
      <w:r w:rsidRPr="00784DD6">
        <w:t xml:space="preserve">When a Court applies the business judgment rule, it will assume that “the directors of a corporation acted on an informed basis, in good faith and in the honest belief that the action taken was in the best interests of the company.” </w:t>
      </w:r>
    </w:p>
    <w:p w:rsidR="001C681C" w:rsidRPr="00784DD6" w:rsidRDefault="001C681C" w:rsidP="007B69A2">
      <w:pPr>
        <w:pStyle w:val="NormalWeb"/>
        <w:numPr>
          <w:ilvl w:val="1"/>
          <w:numId w:val="1"/>
        </w:numPr>
        <w:shd w:val="clear" w:color="auto" w:fill="FFFFFF"/>
        <w:contextualSpacing/>
      </w:pPr>
      <w:r w:rsidRPr="00784DD6">
        <w:t>The business judgment rule only requires that a director have a rational belief that the director’s decision was in the nonprofit corporation’s best interests; by contrast, the statutory duty of care in C.R.S. § 7-128-401 requires that the director’s belief be reasonable.</w:t>
      </w:r>
    </w:p>
    <w:p w:rsidR="0007293E" w:rsidRPr="00784DD6" w:rsidRDefault="001C681C" w:rsidP="007B69A2">
      <w:pPr>
        <w:pStyle w:val="NormalWeb"/>
        <w:numPr>
          <w:ilvl w:val="0"/>
          <w:numId w:val="1"/>
        </w:numPr>
        <w:shd w:val="clear" w:color="auto" w:fill="FFFFFF"/>
        <w:contextualSpacing/>
      </w:pPr>
      <w:r w:rsidRPr="00784DD6">
        <w:rPr>
          <w:i/>
        </w:rPr>
        <w:t>See also</w:t>
      </w:r>
      <w:r w:rsidRPr="00784DD6">
        <w:t xml:space="preserve">, </w:t>
      </w:r>
      <w:r w:rsidR="0007293E" w:rsidRPr="00784DD6">
        <w:t xml:space="preserve">the Association’s </w:t>
      </w:r>
      <w:r w:rsidRPr="00784DD6">
        <w:t xml:space="preserve">Declaration Section 16.14 Limitation on Liability. “The Association, the Executive Board, the Architectural Review Committee, </w:t>
      </w:r>
      <w:proofErr w:type="spellStart"/>
      <w:r w:rsidRPr="00784DD6">
        <w:t>Declarant</w:t>
      </w:r>
      <w:proofErr w:type="spellEnd"/>
      <w:r w:rsidRPr="00784DD6">
        <w:t xml:space="preserve"> and any Member or member, agent or employee of any of the same shall not be liable to any Person for any action or for any failure to act if the action or failure to act was in good faith and without malice.”</w:t>
      </w:r>
    </w:p>
    <w:p w:rsidR="0007293E" w:rsidRPr="00784DD6" w:rsidRDefault="0007293E" w:rsidP="007B69A2">
      <w:pPr>
        <w:pStyle w:val="NormalWeb"/>
        <w:numPr>
          <w:ilvl w:val="0"/>
          <w:numId w:val="1"/>
        </w:numPr>
        <w:shd w:val="clear" w:color="auto" w:fill="FFFFFF"/>
        <w:contextualSpacing/>
      </w:pPr>
      <w:r w:rsidRPr="00784DD6">
        <w:t xml:space="preserve">I do not know “what steps will the Board take to ensure that a comprehensive financial audit of the </w:t>
      </w:r>
      <w:proofErr w:type="spellStart"/>
      <w:r w:rsidRPr="00784DD6">
        <w:t>declarant</w:t>
      </w:r>
      <w:proofErr w:type="spellEnd"/>
      <w:r w:rsidRPr="00784DD6">
        <w:t xml:space="preserve"> control period is performed </w:t>
      </w:r>
      <w:r w:rsidRPr="00784DD6">
        <w:rPr>
          <w:b/>
          <w:bCs/>
        </w:rPr>
        <w:t xml:space="preserve">before </w:t>
      </w:r>
      <w:r w:rsidRPr="00784DD6">
        <w:t xml:space="preserve">any special assessment is issued to homeowners for installation of any new major improvements.”  </w:t>
      </w:r>
      <w:proofErr w:type="spellStart"/>
      <w:r w:rsidRPr="00784DD6">
        <w:t>Jaworski</w:t>
      </w:r>
      <w:proofErr w:type="spellEnd"/>
      <w:r w:rsidRPr="00784DD6">
        <w:t xml:space="preserve"> has not provided any authority that this is required before any special assessment.  </w:t>
      </w:r>
    </w:p>
    <w:p w:rsidR="00784DD6" w:rsidRDefault="00784DD6" w:rsidP="007B69A2">
      <w:pPr>
        <w:pStyle w:val="NormalWeb"/>
        <w:shd w:val="clear" w:color="auto" w:fill="FFFFFF"/>
        <w:contextualSpacing/>
        <w:rPr>
          <w:b/>
          <w:bCs/>
        </w:rPr>
      </w:pPr>
    </w:p>
    <w:p w:rsidR="0007293E" w:rsidRPr="00784DD6" w:rsidRDefault="0007293E" w:rsidP="007B69A2">
      <w:pPr>
        <w:pStyle w:val="NormalWeb"/>
        <w:shd w:val="clear" w:color="auto" w:fill="FFFFFF"/>
        <w:contextualSpacing/>
        <w:rPr>
          <w:b/>
          <w:bCs/>
        </w:rPr>
      </w:pPr>
      <w:proofErr w:type="gramStart"/>
      <w:r w:rsidRPr="00784DD6">
        <w:rPr>
          <w:b/>
          <w:bCs/>
        </w:rPr>
        <w:t>The Annexation/Subdivision of Undersized Lots.</w:t>
      </w:r>
      <w:proofErr w:type="gramEnd"/>
    </w:p>
    <w:p w:rsidR="0007293E" w:rsidRPr="00784DD6" w:rsidRDefault="009009BB" w:rsidP="007B69A2">
      <w:pPr>
        <w:pStyle w:val="NormalWeb"/>
        <w:numPr>
          <w:ilvl w:val="0"/>
          <w:numId w:val="1"/>
        </w:numPr>
        <w:shd w:val="clear" w:color="auto" w:fill="FFFFFF"/>
        <w:contextualSpacing/>
      </w:pPr>
      <w:r w:rsidRPr="00784DD6">
        <w:t xml:space="preserve">The Board has been previously briefed on the legal ability of the </w:t>
      </w:r>
      <w:proofErr w:type="spellStart"/>
      <w:r w:rsidRPr="00784DD6">
        <w:t>Declarant</w:t>
      </w:r>
      <w:proofErr w:type="spellEnd"/>
      <w:r w:rsidRPr="00784DD6">
        <w:t xml:space="preserve"> to annex property.  </w:t>
      </w:r>
      <w:r w:rsidR="00DC422C" w:rsidRPr="00784DD6">
        <w:t xml:space="preserve">Do you want me to provide this again?  I do not see that he raises anything new.  </w:t>
      </w:r>
    </w:p>
    <w:p w:rsidR="00DC422C" w:rsidRPr="00784DD6" w:rsidRDefault="00DC422C" w:rsidP="007B69A2">
      <w:pPr>
        <w:pStyle w:val="NormalWeb"/>
        <w:shd w:val="clear" w:color="auto" w:fill="FFFFFF"/>
        <w:contextualSpacing/>
        <w:rPr>
          <w:b/>
          <w:bCs/>
        </w:rPr>
      </w:pPr>
      <w:r w:rsidRPr="00784DD6">
        <w:rPr>
          <w:b/>
          <w:bCs/>
        </w:rPr>
        <w:t>The Developer’s Obligation to Pay for Cisterns</w:t>
      </w:r>
    </w:p>
    <w:p w:rsidR="00DC422C" w:rsidRPr="00784DD6" w:rsidRDefault="00DC422C" w:rsidP="007B69A2">
      <w:pPr>
        <w:pStyle w:val="NormalWeb"/>
        <w:numPr>
          <w:ilvl w:val="0"/>
          <w:numId w:val="1"/>
        </w:numPr>
        <w:shd w:val="clear" w:color="auto" w:fill="FFFFFF"/>
        <w:contextualSpacing/>
      </w:pPr>
      <w:proofErr w:type="spellStart"/>
      <w:r w:rsidRPr="00784DD6">
        <w:t>Jaworski</w:t>
      </w:r>
      <w:proofErr w:type="spellEnd"/>
      <w:r w:rsidRPr="00784DD6">
        <w:rPr>
          <w:bCs/>
        </w:rPr>
        <w:t xml:space="preserve"> ha</w:t>
      </w:r>
      <w:r w:rsidR="00B269D2" w:rsidRPr="00784DD6">
        <w:rPr>
          <w:bCs/>
        </w:rPr>
        <w:t>s not cultivated</w:t>
      </w:r>
      <w:r w:rsidRPr="00784DD6">
        <w:rPr>
          <w:bCs/>
        </w:rPr>
        <w:t xml:space="preserve"> much credibility based upon his representations of the law earlier in his letter.  </w:t>
      </w:r>
    </w:p>
    <w:p w:rsidR="00DC422C" w:rsidRPr="00784DD6" w:rsidRDefault="00DC422C" w:rsidP="007B69A2">
      <w:pPr>
        <w:pStyle w:val="NormalWeb"/>
        <w:numPr>
          <w:ilvl w:val="0"/>
          <w:numId w:val="1"/>
        </w:numPr>
        <w:shd w:val="clear" w:color="auto" w:fill="FFFFFF"/>
        <w:contextualSpacing/>
      </w:pPr>
      <w:r w:rsidRPr="00784DD6">
        <w:rPr>
          <w:bCs/>
        </w:rPr>
        <w:t xml:space="preserve">The </w:t>
      </w:r>
      <w:proofErr w:type="spellStart"/>
      <w:r w:rsidRPr="00784DD6">
        <w:rPr>
          <w:bCs/>
        </w:rPr>
        <w:t>Declarant</w:t>
      </w:r>
      <w:proofErr w:type="spellEnd"/>
      <w:r w:rsidRPr="00784DD6">
        <w:rPr>
          <w:bCs/>
        </w:rPr>
        <w:t xml:space="preserve"> has </w:t>
      </w:r>
      <w:r w:rsidR="007B69A2" w:rsidRPr="00784DD6">
        <w:rPr>
          <w:bCs/>
        </w:rPr>
        <w:t>recorded a</w:t>
      </w:r>
      <w:r w:rsidRPr="00784DD6">
        <w:rPr>
          <w:bCs/>
        </w:rPr>
        <w:t xml:space="preserve"> </w:t>
      </w:r>
      <w:r w:rsidR="007B69A2" w:rsidRPr="00784DD6">
        <w:rPr>
          <w:bCs/>
        </w:rPr>
        <w:t xml:space="preserve">large number of records with Gilpin County related to this subdivision.  </w:t>
      </w:r>
      <w:r w:rsidRPr="00784DD6">
        <w:t xml:space="preserve">Ted </w:t>
      </w:r>
      <w:proofErr w:type="spellStart"/>
      <w:r w:rsidRPr="00784DD6">
        <w:t>Bertele</w:t>
      </w:r>
      <w:proofErr w:type="spellEnd"/>
      <w:r w:rsidRPr="00784DD6">
        <w:t xml:space="preserve"> has spent time in person obtaining them from the County and organizing them.  However, there are multiple layers of planning documents.  At times, old planning documents were supplanted (replaced) with new versions and, in other cases, they were supplemented.  </w:t>
      </w:r>
    </w:p>
    <w:p w:rsidR="00DC422C" w:rsidRPr="00784DD6" w:rsidRDefault="00DC422C" w:rsidP="007B69A2">
      <w:pPr>
        <w:pStyle w:val="NormalWeb"/>
        <w:numPr>
          <w:ilvl w:val="0"/>
          <w:numId w:val="1"/>
        </w:numPr>
        <w:shd w:val="clear" w:color="auto" w:fill="FFFFFF"/>
        <w:contextualSpacing/>
      </w:pPr>
      <w:r w:rsidRPr="00784DD6">
        <w:t xml:space="preserve">I did not represent the </w:t>
      </w:r>
      <w:proofErr w:type="spellStart"/>
      <w:r w:rsidRPr="00784DD6">
        <w:t>Declarant</w:t>
      </w:r>
      <w:proofErr w:type="spellEnd"/>
      <w:r w:rsidRPr="00784DD6">
        <w:t xml:space="preserve"> and am not privy to what transpired between it and the Fire Protection District.  </w:t>
      </w:r>
    </w:p>
    <w:p w:rsidR="00DC422C" w:rsidRPr="00784DD6" w:rsidRDefault="00784DD6" w:rsidP="007B69A2">
      <w:pPr>
        <w:pStyle w:val="NormalWeb"/>
        <w:numPr>
          <w:ilvl w:val="0"/>
          <w:numId w:val="1"/>
        </w:numPr>
        <w:shd w:val="clear" w:color="auto" w:fill="FFFFFF"/>
        <w:contextualSpacing/>
      </w:pPr>
      <w:r w:rsidRPr="00784DD6">
        <w:rPr>
          <w:bCs/>
        </w:rPr>
        <w:t>I would be inclined to p</w:t>
      </w:r>
      <w:r w:rsidR="00DC422C" w:rsidRPr="00784DD6">
        <w:rPr>
          <w:bCs/>
        </w:rPr>
        <w:t xml:space="preserve">ut this portion of the letter to the </w:t>
      </w:r>
      <w:proofErr w:type="spellStart"/>
      <w:r w:rsidR="00DC422C" w:rsidRPr="00784DD6">
        <w:rPr>
          <w:bCs/>
        </w:rPr>
        <w:t>Declarant</w:t>
      </w:r>
      <w:proofErr w:type="spellEnd"/>
      <w:r w:rsidR="00DC422C" w:rsidRPr="00784DD6">
        <w:rPr>
          <w:bCs/>
        </w:rPr>
        <w:t xml:space="preserve"> and request its response</w:t>
      </w:r>
      <w:r w:rsidR="00B269D2" w:rsidRPr="00784DD6">
        <w:rPr>
          <w:bCs/>
        </w:rPr>
        <w:t xml:space="preserve"> and additional information</w:t>
      </w:r>
      <w:r w:rsidR="00E848EA">
        <w:rPr>
          <w:bCs/>
        </w:rPr>
        <w:t xml:space="preserve">.  Tell </w:t>
      </w:r>
      <w:proofErr w:type="spellStart"/>
      <w:r w:rsidR="00E848EA" w:rsidRPr="00784DD6">
        <w:t>Jaworski</w:t>
      </w:r>
      <w:proofErr w:type="spellEnd"/>
      <w:r w:rsidR="00E848EA">
        <w:t xml:space="preserve"> this is what we are doing to collect information on this topic.  </w:t>
      </w:r>
    </w:p>
    <w:p w:rsidR="00784DD6" w:rsidRPr="00784DD6" w:rsidRDefault="00784DD6" w:rsidP="00784DD6">
      <w:pPr>
        <w:pStyle w:val="NormalWeb"/>
        <w:numPr>
          <w:ilvl w:val="0"/>
          <w:numId w:val="1"/>
        </w:numPr>
        <w:shd w:val="clear" w:color="auto" w:fill="FFFFFF"/>
        <w:contextualSpacing/>
      </w:pPr>
      <w:r w:rsidRPr="00784DD6">
        <w:rPr>
          <w:bCs/>
        </w:rPr>
        <w:t>We could f</w:t>
      </w:r>
      <w:r w:rsidR="00B269D2" w:rsidRPr="00784DD6">
        <w:rPr>
          <w:bCs/>
        </w:rPr>
        <w:t>act collect from the Fire Protection District directly to see what we can learn a</w:t>
      </w:r>
      <w:r w:rsidRPr="00784DD6">
        <w:rPr>
          <w:bCs/>
        </w:rPr>
        <w:t>bout these obligation</w:t>
      </w:r>
      <w:r w:rsidR="00E848EA">
        <w:rPr>
          <w:bCs/>
        </w:rPr>
        <w:t>s, but it seems most direct to g</w:t>
      </w:r>
      <w:r w:rsidRPr="00784DD6">
        <w:rPr>
          <w:bCs/>
        </w:rPr>
        <w:t xml:space="preserve">o </w:t>
      </w:r>
      <w:r w:rsidR="00E848EA">
        <w:rPr>
          <w:bCs/>
        </w:rPr>
        <w:t xml:space="preserve">to </w:t>
      </w:r>
      <w:r w:rsidRPr="00784DD6">
        <w:rPr>
          <w:bCs/>
        </w:rPr>
        <w:t xml:space="preserve">the </w:t>
      </w:r>
      <w:proofErr w:type="spellStart"/>
      <w:r w:rsidRPr="00784DD6">
        <w:rPr>
          <w:bCs/>
        </w:rPr>
        <w:t>Declarant</w:t>
      </w:r>
      <w:proofErr w:type="spellEnd"/>
      <w:r w:rsidRPr="00784DD6">
        <w:rPr>
          <w:bCs/>
        </w:rPr>
        <w:t xml:space="preserve"> and see what it knows about the history of this situation since </w:t>
      </w:r>
      <w:proofErr w:type="spellStart"/>
      <w:r w:rsidRPr="00784DD6">
        <w:t>Jaworski</w:t>
      </w:r>
      <w:proofErr w:type="spellEnd"/>
      <w:r w:rsidRPr="00784DD6">
        <w:t xml:space="preserve"> is questioning “whether the </w:t>
      </w:r>
      <w:proofErr w:type="spellStart"/>
      <w:r w:rsidRPr="00784DD6">
        <w:t>Declarant</w:t>
      </w:r>
      <w:proofErr w:type="spellEnd"/>
      <w:r w:rsidRPr="00784DD6">
        <w:t xml:space="preserve"> has any explanation….”</w:t>
      </w:r>
      <w:r w:rsidR="00E848EA">
        <w:t xml:space="preserve">  </w:t>
      </w:r>
      <w:r w:rsidRPr="00784DD6">
        <w:t xml:space="preserve">  </w:t>
      </w:r>
    </w:p>
    <w:p w:rsidR="00B269D2" w:rsidRPr="00784DD6" w:rsidRDefault="00B269D2" w:rsidP="007B69A2">
      <w:pPr>
        <w:pStyle w:val="Default"/>
        <w:numPr>
          <w:ilvl w:val="0"/>
          <w:numId w:val="1"/>
        </w:numPr>
        <w:contextualSpacing/>
        <w:rPr>
          <w:rFonts w:ascii="Times New Roman" w:hAnsi="Times New Roman" w:cs="Times New Roman"/>
          <w:color w:val="auto"/>
        </w:rPr>
      </w:pPr>
      <w:r w:rsidRPr="00784DD6">
        <w:rPr>
          <w:rFonts w:ascii="Times New Roman" w:hAnsi="Times New Roman" w:cs="Times New Roman"/>
          <w:color w:val="auto"/>
        </w:rPr>
        <w:t xml:space="preserve">I </w:t>
      </w:r>
      <w:r w:rsidR="007B69A2" w:rsidRPr="00784DD6">
        <w:rPr>
          <w:rFonts w:ascii="Times New Roman" w:hAnsi="Times New Roman" w:cs="Times New Roman"/>
          <w:color w:val="auto"/>
        </w:rPr>
        <w:t>have attached the</w:t>
      </w:r>
      <w:r w:rsidRPr="00784DD6">
        <w:rPr>
          <w:rFonts w:ascii="Times New Roman" w:hAnsi="Times New Roman" w:cs="Times New Roman"/>
          <w:color w:val="auto"/>
        </w:rPr>
        <w:t xml:space="preserve"> Order for Inclusion of Real Property in the Colorado Sierra Fire Protection District, February 8, 2006, Gilpin County District Court Case No. 1971 CV 5727 (Recorded on February 21, 2006 at Rec. # 129088) :</w:t>
      </w:r>
    </w:p>
    <w:p w:rsidR="00DC422C" w:rsidRPr="00784DD6" w:rsidRDefault="00784DD6" w:rsidP="00784DD6">
      <w:pPr>
        <w:pStyle w:val="NormalWeb"/>
        <w:numPr>
          <w:ilvl w:val="0"/>
          <w:numId w:val="1"/>
        </w:numPr>
        <w:shd w:val="clear" w:color="auto" w:fill="FFFFFF"/>
        <w:contextualSpacing/>
      </w:pPr>
      <w:r w:rsidRPr="00784DD6">
        <w:t xml:space="preserve">The </w:t>
      </w:r>
      <w:proofErr w:type="spellStart"/>
      <w:r w:rsidRPr="00784DD6">
        <w:t>Sharmas</w:t>
      </w:r>
      <w:proofErr w:type="spellEnd"/>
      <w:r w:rsidRPr="00784DD6">
        <w:t xml:space="preserve"> are only entitled to their attorney fees if they prevail.</w:t>
      </w:r>
      <w:r>
        <w:rPr>
          <w:rStyle w:val="FootnoteReference"/>
        </w:rPr>
        <w:footnoteReference w:id="2"/>
      </w:r>
      <w:r w:rsidRPr="00784DD6">
        <w:t xml:space="preserve">  </w:t>
      </w:r>
    </w:p>
    <w:p w:rsidR="00DC422C" w:rsidRPr="00784DD6" w:rsidRDefault="00DC422C" w:rsidP="007B69A2">
      <w:pPr>
        <w:pStyle w:val="NormalWeb"/>
        <w:shd w:val="clear" w:color="auto" w:fill="FFFFFF"/>
        <w:contextualSpacing/>
      </w:pPr>
    </w:p>
    <w:sectPr w:rsidR="00DC422C" w:rsidRPr="00784DD6" w:rsidSect="00AC57B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4F6" w:rsidRDefault="000654F6" w:rsidP="00AB08D0">
      <w:pPr>
        <w:spacing w:after="0" w:line="240" w:lineRule="auto"/>
      </w:pPr>
      <w:r>
        <w:separator/>
      </w:r>
    </w:p>
  </w:endnote>
  <w:endnote w:type="continuationSeparator" w:id="0">
    <w:p w:rsidR="000654F6" w:rsidRDefault="000654F6" w:rsidP="00AB0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4F6" w:rsidRDefault="000654F6" w:rsidP="00AB08D0">
      <w:pPr>
        <w:spacing w:after="0" w:line="240" w:lineRule="auto"/>
      </w:pPr>
      <w:r>
        <w:separator/>
      </w:r>
    </w:p>
  </w:footnote>
  <w:footnote w:type="continuationSeparator" w:id="0">
    <w:p w:rsidR="000654F6" w:rsidRDefault="000654F6" w:rsidP="00AB08D0">
      <w:pPr>
        <w:spacing w:after="0" w:line="240" w:lineRule="auto"/>
      </w:pPr>
      <w:r>
        <w:continuationSeparator/>
      </w:r>
    </w:p>
  </w:footnote>
  <w:footnote w:id="1">
    <w:p w:rsidR="00D43AAD" w:rsidRPr="009009BB" w:rsidRDefault="00D43AAD" w:rsidP="009009BB">
      <w:pPr>
        <w:pStyle w:val="NormalWeb"/>
        <w:shd w:val="clear" w:color="auto" w:fill="FFFFFF"/>
      </w:pPr>
      <w:r w:rsidRPr="009009BB">
        <w:rPr>
          <w:rStyle w:val="FootnoteReference"/>
        </w:rPr>
        <w:footnoteRef/>
      </w:r>
      <w:r w:rsidRPr="009009BB">
        <w:t xml:space="preserve"> “With regard to the investment of reserve funds of the association, the officers and members of the executive board shall be subject to the standards set forth in section 7-128-401, C.R.S.”  </w:t>
      </w:r>
      <w:proofErr w:type="gramStart"/>
      <w:r w:rsidRPr="009009BB">
        <w:t>C.R.S. § 38-33.3-303(2.5).</w:t>
      </w:r>
      <w:proofErr w:type="gramEnd"/>
      <w:r w:rsidRPr="009009BB">
        <w:t xml:space="preserve">  </w:t>
      </w:r>
    </w:p>
  </w:footnote>
  <w:footnote w:id="2">
    <w:p w:rsidR="00784DD6" w:rsidRPr="00784DD6" w:rsidRDefault="00784DD6" w:rsidP="00784DD6">
      <w:pPr>
        <w:pStyle w:val="NormalWeb"/>
        <w:shd w:val="clear" w:color="auto" w:fill="FFFFFF"/>
        <w:contextualSpacing/>
      </w:pPr>
      <w:r>
        <w:rPr>
          <w:rStyle w:val="FootnoteReference"/>
        </w:rPr>
        <w:footnoteRef/>
      </w:r>
      <w:r>
        <w:t xml:space="preserve"> </w:t>
      </w:r>
      <w:proofErr w:type="spellStart"/>
      <w:r w:rsidRPr="007B69A2">
        <w:t>Jaworski</w:t>
      </w:r>
      <w:proofErr w:type="spellEnd"/>
      <w:r w:rsidRPr="00784DD6">
        <w:rPr>
          <w:bCs/>
        </w:rPr>
        <w:t xml:space="preserve"> cites </w:t>
      </w:r>
      <w:r w:rsidRPr="00784DD6">
        <w:t>C.R.S. § 38-33.3-123(1</w:t>
      </w:r>
      <w:proofErr w:type="gramStart"/>
      <w:r w:rsidRPr="00784DD6">
        <w:t>)(</w:t>
      </w:r>
      <w:proofErr w:type="gramEnd"/>
      <w:r w:rsidRPr="00784DD6">
        <w:t>d)</w:t>
      </w:r>
      <w:r>
        <w:t xml:space="preserve"> for the proposition the </w:t>
      </w:r>
      <w:proofErr w:type="spellStart"/>
      <w:r>
        <w:t>Sharmas</w:t>
      </w:r>
      <w:proofErr w:type="spellEnd"/>
      <w:r>
        <w:t xml:space="preserve"> will be awarded their attorney fees, and </w:t>
      </w:r>
      <w:r w:rsidRPr="00784DD6">
        <w:t>C.R.S. § 38-33.3-123(1)(d)</w:t>
      </w:r>
      <w:r>
        <w:t xml:space="preserve"> relates to action where the Association files an enforcement action against a homeowner.  </w:t>
      </w:r>
    </w:p>
    <w:p w:rsidR="00784DD6" w:rsidRDefault="00784DD6" w:rsidP="00784DD6">
      <w:pPr>
        <w:pStyle w:val="NormalWeb"/>
        <w:shd w:val="clear" w:color="auto" w:fill="FFFFFF"/>
        <w:ind w:left="720"/>
        <w:contextualSpacing/>
      </w:pPr>
      <w:r>
        <w:t>“</w:t>
      </w:r>
      <w:r w:rsidRPr="00784DD6">
        <w:t>Notwithstanding paragraph (c) of this subsection (1), in connection with any claim in which a unit owner is alleged to have violated a provision of this article or of the declaration, bylaws, articles, or rules and regulations of the association and in which the court finds that the unit owner prevailed because the unit owner did not commit the alleged violation:</w:t>
      </w:r>
      <w:r w:rsidRPr="00784DD6">
        <w:br/>
        <w:t>(I) The court shall award the unit owner reasonable attorney fees and costs incurred in asserting or defending the claim; and</w:t>
      </w:r>
      <w:r w:rsidRPr="00784DD6">
        <w:br/>
        <w:t>(II) The court shall not award costs or attorney fees to the association. In addition, the association shall be precluded from allocating to the unit owner's account with the association any of the association's costs or attorney fees incurred in asserting or defending the claim.</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1276"/>
    <w:multiLevelType w:val="hybridMultilevel"/>
    <w:tmpl w:val="C0180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A2951"/>
    <w:multiLevelType w:val="hybridMultilevel"/>
    <w:tmpl w:val="932475A6"/>
    <w:lvl w:ilvl="0" w:tplc="C058AADE">
      <w:start w:val="1"/>
      <w:numFmt w:val="lowerLetter"/>
      <w:lvlText w:val="%1."/>
      <w:lvlJc w:val="left"/>
      <w:pPr>
        <w:ind w:left="1440" w:hanging="360"/>
      </w:pPr>
      <w:rPr>
        <w:rFonts w:ascii="Arial" w:eastAsiaTheme="minorHAns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CC2A9D"/>
    <w:multiLevelType w:val="hybridMultilevel"/>
    <w:tmpl w:val="D45ED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14AE7"/>
    <w:multiLevelType w:val="hybridMultilevel"/>
    <w:tmpl w:val="AC1E8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C85583"/>
    <w:multiLevelType w:val="hybridMultilevel"/>
    <w:tmpl w:val="8D649B2C"/>
    <w:lvl w:ilvl="0" w:tplc="4EAA26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footnotePr>
    <w:footnote w:id="-1"/>
    <w:footnote w:id="0"/>
  </w:footnotePr>
  <w:endnotePr>
    <w:endnote w:id="-1"/>
    <w:endnote w:id="0"/>
  </w:endnotePr>
  <w:compat/>
  <w:rsids>
    <w:rsidRoot w:val="008D6DE8"/>
    <w:rsid w:val="000228DC"/>
    <w:rsid w:val="000654F6"/>
    <w:rsid w:val="00070900"/>
    <w:rsid w:val="0007293E"/>
    <w:rsid w:val="00101A53"/>
    <w:rsid w:val="001C6383"/>
    <w:rsid w:val="001C681C"/>
    <w:rsid w:val="001E000B"/>
    <w:rsid w:val="003B18FF"/>
    <w:rsid w:val="00492171"/>
    <w:rsid w:val="00507DFE"/>
    <w:rsid w:val="00516888"/>
    <w:rsid w:val="00573DE5"/>
    <w:rsid w:val="006942A7"/>
    <w:rsid w:val="006B3540"/>
    <w:rsid w:val="00784DD6"/>
    <w:rsid w:val="007B69A2"/>
    <w:rsid w:val="007D4E98"/>
    <w:rsid w:val="008D6AC1"/>
    <w:rsid w:val="008D6DE8"/>
    <w:rsid w:val="009009BB"/>
    <w:rsid w:val="00901982"/>
    <w:rsid w:val="00A0006B"/>
    <w:rsid w:val="00A416B5"/>
    <w:rsid w:val="00A472E6"/>
    <w:rsid w:val="00AB08D0"/>
    <w:rsid w:val="00AC57BE"/>
    <w:rsid w:val="00B269D2"/>
    <w:rsid w:val="00C56A9C"/>
    <w:rsid w:val="00CF702B"/>
    <w:rsid w:val="00D0705C"/>
    <w:rsid w:val="00D345BD"/>
    <w:rsid w:val="00D43AAD"/>
    <w:rsid w:val="00D44EF0"/>
    <w:rsid w:val="00D7357B"/>
    <w:rsid w:val="00D91B2C"/>
    <w:rsid w:val="00DC422C"/>
    <w:rsid w:val="00E84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DE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D6DE8"/>
    <w:pPr>
      <w:ind w:left="720"/>
      <w:contextualSpacing/>
    </w:pPr>
  </w:style>
  <w:style w:type="paragraph" w:styleId="NormalWeb">
    <w:name w:val="Normal (Web)"/>
    <w:basedOn w:val="Normal"/>
    <w:uiPriority w:val="99"/>
    <w:unhideWhenUsed/>
    <w:rsid w:val="00CF702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B0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8D0"/>
    <w:rPr>
      <w:sz w:val="20"/>
      <w:szCs w:val="20"/>
    </w:rPr>
  </w:style>
  <w:style w:type="character" w:styleId="FootnoteReference">
    <w:name w:val="footnote reference"/>
    <w:basedOn w:val="DefaultParagraphFont"/>
    <w:uiPriority w:val="99"/>
    <w:semiHidden/>
    <w:unhideWhenUsed/>
    <w:rsid w:val="00AB08D0"/>
    <w:rPr>
      <w:vertAlign w:val="superscript"/>
    </w:rPr>
  </w:style>
  <w:style w:type="paragraph" w:styleId="Header">
    <w:name w:val="header"/>
    <w:basedOn w:val="Normal"/>
    <w:link w:val="HeaderChar"/>
    <w:uiPriority w:val="99"/>
    <w:semiHidden/>
    <w:unhideWhenUsed/>
    <w:rsid w:val="00AB08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08D0"/>
  </w:style>
  <w:style w:type="paragraph" w:styleId="Footer">
    <w:name w:val="footer"/>
    <w:basedOn w:val="Normal"/>
    <w:link w:val="FooterChar"/>
    <w:uiPriority w:val="99"/>
    <w:semiHidden/>
    <w:unhideWhenUsed/>
    <w:rsid w:val="00AB08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08D0"/>
  </w:style>
  <w:style w:type="character" w:styleId="Hyperlink">
    <w:name w:val="Hyperlink"/>
    <w:basedOn w:val="DefaultParagraphFont"/>
    <w:uiPriority w:val="99"/>
    <w:semiHidden/>
    <w:unhideWhenUsed/>
    <w:rsid w:val="00B269D2"/>
    <w:rPr>
      <w:color w:val="0000FF"/>
      <w:u w:val="single"/>
    </w:rPr>
  </w:style>
</w:styles>
</file>

<file path=word/webSettings.xml><?xml version="1.0" encoding="utf-8"?>
<w:webSettings xmlns:r="http://schemas.openxmlformats.org/officeDocument/2006/relationships" xmlns:w="http://schemas.openxmlformats.org/wordprocessingml/2006/main">
  <w:divs>
    <w:div w:id="843132118">
      <w:bodyDiv w:val="1"/>
      <w:marLeft w:val="0"/>
      <w:marRight w:val="0"/>
      <w:marTop w:val="0"/>
      <w:marBottom w:val="0"/>
      <w:divBdr>
        <w:top w:val="none" w:sz="0" w:space="0" w:color="auto"/>
        <w:left w:val="none" w:sz="0" w:space="0" w:color="auto"/>
        <w:bottom w:val="none" w:sz="0" w:space="0" w:color="auto"/>
        <w:right w:val="none" w:sz="0" w:space="0" w:color="auto"/>
      </w:divBdr>
    </w:div>
    <w:div w:id="1108164529">
      <w:bodyDiv w:val="1"/>
      <w:marLeft w:val="0"/>
      <w:marRight w:val="0"/>
      <w:marTop w:val="0"/>
      <w:marBottom w:val="0"/>
      <w:divBdr>
        <w:top w:val="none" w:sz="0" w:space="0" w:color="auto"/>
        <w:left w:val="none" w:sz="0" w:space="0" w:color="auto"/>
        <w:bottom w:val="none" w:sz="0" w:space="0" w:color="auto"/>
        <w:right w:val="none" w:sz="0" w:space="0" w:color="auto"/>
      </w:divBdr>
      <w:divsChild>
        <w:div w:id="1429346969">
          <w:marLeft w:val="0"/>
          <w:marRight w:val="0"/>
          <w:marTop w:val="0"/>
          <w:marBottom w:val="0"/>
          <w:divBdr>
            <w:top w:val="none" w:sz="0" w:space="0" w:color="auto"/>
            <w:left w:val="none" w:sz="0" w:space="0" w:color="auto"/>
            <w:bottom w:val="none" w:sz="0" w:space="0" w:color="auto"/>
            <w:right w:val="none" w:sz="0" w:space="0" w:color="auto"/>
          </w:divBdr>
        </w:div>
        <w:div w:id="2104445999">
          <w:marLeft w:val="0"/>
          <w:marRight w:val="0"/>
          <w:marTop w:val="0"/>
          <w:marBottom w:val="0"/>
          <w:divBdr>
            <w:top w:val="none" w:sz="0" w:space="0" w:color="auto"/>
            <w:left w:val="none" w:sz="0" w:space="0" w:color="auto"/>
            <w:bottom w:val="none" w:sz="0" w:space="0" w:color="auto"/>
            <w:right w:val="none" w:sz="0" w:space="0" w:color="auto"/>
          </w:divBdr>
        </w:div>
      </w:divsChild>
    </w:div>
    <w:div w:id="1213421602">
      <w:bodyDiv w:val="1"/>
      <w:marLeft w:val="0"/>
      <w:marRight w:val="0"/>
      <w:marTop w:val="0"/>
      <w:marBottom w:val="0"/>
      <w:divBdr>
        <w:top w:val="none" w:sz="0" w:space="0" w:color="auto"/>
        <w:left w:val="none" w:sz="0" w:space="0" w:color="auto"/>
        <w:bottom w:val="none" w:sz="0" w:space="0" w:color="auto"/>
        <w:right w:val="none" w:sz="0" w:space="0" w:color="auto"/>
      </w:divBdr>
    </w:div>
    <w:div w:id="1226375265">
      <w:bodyDiv w:val="1"/>
      <w:marLeft w:val="0"/>
      <w:marRight w:val="0"/>
      <w:marTop w:val="0"/>
      <w:marBottom w:val="0"/>
      <w:divBdr>
        <w:top w:val="none" w:sz="0" w:space="0" w:color="auto"/>
        <w:left w:val="none" w:sz="0" w:space="0" w:color="auto"/>
        <w:bottom w:val="none" w:sz="0" w:space="0" w:color="auto"/>
        <w:right w:val="none" w:sz="0" w:space="0" w:color="auto"/>
      </w:divBdr>
    </w:div>
    <w:div w:id="1507935794">
      <w:bodyDiv w:val="1"/>
      <w:marLeft w:val="0"/>
      <w:marRight w:val="0"/>
      <w:marTop w:val="0"/>
      <w:marBottom w:val="0"/>
      <w:divBdr>
        <w:top w:val="none" w:sz="0" w:space="0" w:color="auto"/>
        <w:left w:val="none" w:sz="0" w:space="0" w:color="auto"/>
        <w:bottom w:val="none" w:sz="0" w:space="0" w:color="auto"/>
        <w:right w:val="none" w:sz="0" w:space="0" w:color="auto"/>
      </w:divBdr>
    </w:div>
    <w:div w:id="192086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13141-5991-4B6A-BABE-8C142737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9</cp:revision>
  <dcterms:created xsi:type="dcterms:W3CDTF">2019-10-17T16:24:00Z</dcterms:created>
  <dcterms:modified xsi:type="dcterms:W3CDTF">2019-10-17T19:44:00Z</dcterms:modified>
</cp:coreProperties>
</file>